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CF" w:rsidRPr="00FD1498" w:rsidRDefault="00761D6D" w:rsidP="00121A58">
      <w:pPr>
        <w:bidi w:val="0"/>
        <w:spacing w:before="240" w:after="240" w:line="240" w:lineRule="auto"/>
        <w:jc w:val="both"/>
        <w:rPr>
          <w:rFonts w:asciiTheme="majorHAnsi" w:hAnsiTheme="majorHAnsi" w:cstheme="minorHAnsi"/>
          <w:b/>
          <w:bCs/>
          <w:sz w:val="40"/>
          <w:szCs w:val="40"/>
        </w:rPr>
      </w:pPr>
      <w:r w:rsidRPr="00FD1498">
        <w:rPr>
          <w:rFonts w:asciiTheme="majorHAnsi" w:hAnsiTheme="majorHAnsi" w:cstheme="minorHAnsi"/>
          <w:b/>
          <w:bCs/>
          <w:sz w:val="40"/>
          <w:szCs w:val="40"/>
        </w:rPr>
        <w:t>Patterns of idiopathic nephrotic</w:t>
      </w:r>
      <w:r w:rsidR="00121A58" w:rsidRPr="00FD1498">
        <w:rPr>
          <w:rFonts w:asciiTheme="majorHAnsi" w:hAnsiTheme="majorHAnsi" w:cstheme="minorHAnsi"/>
          <w:b/>
          <w:bCs/>
          <w:sz w:val="40"/>
          <w:szCs w:val="40"/>
        </w:rPr>
        <w:t xml:space="preserve"> </w:t>
      </w:r>
      <w:r w:rsidRPr="00FD1498">
        <w:rPr>
          <w:rFonts w:asciiTheme="majorHAnsi" w:hAnsiTheme="majorHAnsi" w:cstheme="minorHAnsi"/>
          <w:b/>
          <w:bCs/>
          <w:sz w:val="40"/>
          <w:szCs w:val="40"/>
        </w:rPr>
        <w:t>syndrome in Upper Egyptian children</w:t>
      </w:r>
    </w:p>
    <w:p w:rsidR="00B40086" w:rsidRPr="00F533E8" w:rsidRDefault="002E41FA" w:rsidP="00356CF3">
      <w:pPr>
        <w:bidi w:val="0"/>
        <w:spacing w:before="240" w:after="12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F533E8">
        <w:rPr>
          <w:rFonts w:asciiTheme="majorHAnsi" w:hAnsiTheme="majorHAnsi" w:cstheme="minorHAnsi"/>
          <w:sz w:val="28"/>
          <w:szCs w:val="28"/>
        </w:rPr>
        <w:t>Ghada Ashry B</w:t>
      </w:r>
      <w:r w:rsidR="0088797B" w:rsidRPr="00F533E8">
        <w:rPr>
          <w:rFonts w:asciiTheme="majorHAnsi" w:hAnsiTheme="majorHAnsi" w:cstheme="minorHAnsi"/>
          <w:sz w:val="28"/>
          <w:szCs w:val="28"/>
        </w:rPr>
        <w:t>.</w:t>
      </w:r>
      <w:r w:rsidRPr="00F533E8">
        <w:rPr>
          <w:rFonts w:asciiTheme="majorHAnsi" w:hAnsiTheme="majorHAnsi" w:cstheme="minorHAnsi"/>
          <w:sz w:val="28"/>
          <w:szCs w:val="28"/>
        </w:rPr>
        <w:t xml:space="preserve"> Abd-Elrehim</w:t>
      </w:r>
      <w:r w:rsidR="00E1564C" w:rsidRPr="00F533E8">
        <w:rPr>
          <w:rFonts w:asciiTheme="majorHAnsi" w:hAnsiTheme="majorHAnsi" w:cstheme="minorHAnsi"/>
          <w:sz w:val="28"/>
          <w:szCs w:val="28"/>
          <w:vertAlign w:val="superscript"/>
        </w:rPr>
        <w:t>1</w:t>
      </w:r>
      <w:r w:rsidR="00B40086" w:rsidRPr="00F533E8">
        <w:rPr>
          <w:rFonts w:asciiTheme="majorHAnsi" w:hAnsiTheme="majorHAnsi" w:cstheme="minorHAnsi"/>
          <w:sz w:val="28"/>
          <w:szCs w:val="28"/>
        </w:rPr>
        <w:t>, Ali Abo-Elmagd Ahmed</w:t>
      </w:r>
      <w:r w:rsidR="0037711A" w:rsidRPr="00F533E8">
        <w:rPr>
          <w:rFonts w:asciiTheme="majorHAnsi" w:hAnsiTheme="majorHAnsi" w:cstheme="minorHAnsi"/>
          <w:sz w:val="28"/>
          <w:szCs w:val="28"/>
        </w:rPr>
        <w:t xml:space="preserve"> MD</w:t>
      </w:r>
      <w:r w:rsidR="00E1564C" w:rsidRPr="00F533E8">
        <w:rPr>
          <w:rFonts w:asciiTheme="majorHAnsi" w:hAnsiTheme="majorHAnsi" w:cstheme="minorHAnsi"/>
          <w:sz w:val="28"/>
          <w:szCs w:val="28"/>
          <w:vertAlign w:val="superscript"/>
        </w:rPr>
        <w:t>1</w:t>
      </w:r>
      <w:r w:rsidR="00B40086" w:rsidRPr="00F533E8">
        <w:rPr>
          <w:rFonts w:asciiTheme="majorHAnsi" w:hAnsiTheme="majorHAnsi" w:cstheme="minorHAnsi"/>
          <w:sz w:val="28"/>
          <w:szCs w:val="28"/>
        </w:rPr>
        <w:t xml:space="preserve">, </w:t>
      </w:r>
      <w:r w:rsidR="00B76740" w:rsidRPr="00F533E8">
        <w:rPr>
          <w:rFonts w:asciiTheme="majorHAnsi" w:hAnsiTheme="majorHAnsi" w:cstheme="minorHAnsi"/>
          <w:sz w:val="28"/>
          <w:szCs w:val="28"/>
        </w:rPr>
        <w:t xml:space="preserve">Swsan </w:t>
      </w:r>
      <w:r w:rsidR="00A636E4" w:rsidRPr="00A636E4">
        <w:rPr>
          <w:rFonts w:asciiTheme="majorHAnsi" w:hAnsiTheme="majorHAnsi" w:cstheme="minorHAnsi"/>
          <w:sz w:val="28"/>
          <w:szCs w:val="28"/>
        </w:rPr>
        <w:t>Abd Al-Monium Fadda</w:t>
      </w:r>
      <w:r w:rsidR="0037711A" w:rsidRPr="00F533E8">
        <w:rPr>
          <w:rFonts w:asciiTheme="majorHAnsi" w:hAnsiTheme="majorHAnsi" w:cstheme="minorHAnsi"/>
          <w:sz w:val="28"/>
          <w:szCs w:val="28"/>
        </w:rPr>
        <w:t xml:space="preserve"> MD</w:t>
      </w:r>
      <w:r w:rsidR="00E1564C" w:rsidRPr="003A6DE6">
        <w:rPr>
          <w:rFonts w:asciiTheme="majorHAnsi" w:hAnsiTheme="majorHAnsi" w:cstheme="minorHAnsi"/>
          <w:sz w:val="28"/>
          <w:szCs w:val="28"/>
          <w:vertAlign w:val="superscript"/>
        </w:rPr>
        <w:t>2</w:t>
      </w:r>
      <w:r w:rsidR="00CF184D" w:rsidRPr="00F533E8">
        <w:rPr>
          <w:rFonts w:asciiTheme="majorHAnsi" w:hAnsiTheme="majorHAnsi" w:cstheme="minorHAnsi"/>
          <w:sz w:val="28"/>
          <w:szCs w:val="28"/>
        </w:rPr>
        <w:t xml:space="preserve">, </w:t>
      </w:r>
      <w:r w:rsidR="00B40086" w:rsidRPr="00F533E8">
        <w:rPr>
          <w:rFonts w:asciiTheme="majorHAnsi" w:hAnsiTheme="majorHAnsi" w:cstheme="minorHAnsi"/>
          <w:sz w:val="28"/>
          <w:szCs w:val="28"/>
        </w:rPr>
        <w:t>Safaa Husein Ali</w:t>
      </w:r>
      <w:r w:rsidR="0037711A" w:rsidRPr="00F533E8">
        <w:rPr>
          <w:rFonts w:asciiTheme="majorHAnsi" w:hAnsiTheme="majorHAnsi" w:cstheme="minorHAnsi"/>
          <w:sz w:val="28"/>
          <w:szCs w:val="28"/>
        </w:rPr>
        <w:t xml:space="preserve"> MD</w:t>
      </w:r>
      <w:r w:rsidR="00E1564C" w:rsidRPr="00F533E8">
        <w:rPr>
          <w:rFonts w:asciiTheme="majorHAnsi" w:hAnsiTheme="majorHAnsi" w:cstheme="minorHAnsi"/>
          <w:sz w:val="28"/>
          <w:szCs w:val="28"/>
          <w:vertAlign w:val="superscript"/>
        </w:rPr>
        <w:t>1</w:t>
      </w:r>
      <w:r w:rsidR="007E6AA7" w:rsidRPr="00F533E8">
        <w:rPr>
          <w:rFonts w:asciiTheme="majorHAnsi" w:hAnsiTheme="majorHAnsi" w:cstheme="minorHAnsi"/>
          <w:sz w:val="28"/>
          <w:szCs w:val="28"/>
        </w:rPr>
        <w:t xml:space="preserve">, </w:t>
      </w:r>
      <w:r w:rsidR="00881E45" w:rsidRPr="00F533E8">
        <w:rPr>
          <w:rFonts w:asciiTheme="majorHAnsi" w:hAnsiTheme="majorHAnsi" w:cstheme="minorHAnsi"/>
          <w:sz w:val="28"/>
          <w:szCs w:val="28"/>
        </w:rPr>
        <w:t>Naglaa Fawzy</w:t>
      </w:r>
      <w:r w:rsidR="0037711A" w:rsidRPr="00F533E8">
        <w:rPr>
          <w:rFonts w:asciiTheme="majorHAnsi" w:hAnsiTheme="majorHAnsi" w:cstheme="minorHAnsi"/>
          <w:sz w:val="28"/>
          <w:szCs w:val="28"/>
        </w:rPr>
        <w:t xml:space="preserve"> </w:t>
      </w:r>
      <w:r w:rsidR="00356CF3">
        <w:rPr>
          <w:rFonts w:asciiTheme="majorHAnsi" w:hAnsiTheme="majorHAnsi" w:cstheme="minorHAnsi"/>
          <w:sz w:val="28"/>
          <w:szCs w:val="28"/>
        </w:rPr>
        <w:t xml:space="preserve">Ahmed </w:t>
      </w:r>
      <w:r w:rsidR="0037711A" w:rsidRPr="00F533E8">
        <w:rPr>
          <w:rFonts w:asciiTheme="majorHAnsi" w:hAnsiTheme="majorHAnsi" w:cstheme="minorHAnsi"/>
          <w:sz w:val="28"/>
          <w:szCs w:val="28"/>
        </w:rPr>
        <w:t>MD</w:t>
      </w:r>
      <w:r w:rsidR="00E1564C" w:rsidRPr="00F533E8">
        <w:rPr>
          <w:rFonts w:asciiTheme="majorHAnsi" w:hAnsiTheme="majorHAnsi" w:cstheme="minorHAnsi"/>
          <w:sz w:val="28"/>
          <w:szCs w:val="28"/>
          <w:vertAlign w:val="superscript"/>
        </w:rPr>
        <w:t>1</w:t>
      </w:r>
    </w:p>
    <w:p w:rsidR="00A0287A" w:rsidRDefault="00FA3E20" w:rsidP="00356CF3">
      <w:pPr>
        <w:bidi w:val="0"/>
        <w:spacing w:before="120"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3E20">
        <w:rPr>
          <w:rFonts w:asciiTheme="majorHAnsi" w:hAnsiTheme="majorHAnsi" w:cstheme="minorHAnsi"/>
          <w:sz w:val="24"/>
          <w:szCs w:val="24"/>
          <w:vertAlign w:val="superscript"/>
        </w:rPr>
        <w:t>1</w:t>
      </w:r>
      <w:r w:rsidR="00E57604" w:rsidRPr="00DA4793">
        <w:rPr>
          <w:rFonts w:asciiTheme="majorHAnsi" w:hAnsiTheme="majorHAnsi" w:cstheme="minorHAnsi"/>
          <w:sz w:val="24"/>
          <w:szCs w:val="24"/>
        </w:rPr>
        <w:t>Pediatric Department</w:t>
      </w:r>
      <w:r w:rsidR="00B40086" w:rsidRPr="00DA4793">
        <w:rPr>
          <w:rFonts w:asciiTheme="majorHAnsi" w:hAnsiTheme="majorHAnsi" w:cstheme="minorHAnsi"/>
          <w:sz w:val="24"/>
          <w:szCs w:val="24"/>
        </w:rPr>
        <w:t>, Sohag University</w:t>
      </w:r>
      <w:r w:rsidR="00D3779D" w:rsidRPr="00DA4793">
        <w:rPr>
          <w:rFonts w:asciiTheme="majorHAnsi" w:hAnsiTheme="majorHAnsi" w:cstheme="minorHAnsi"/>
          <w:sz w:val="24"/>
          <w:szCs w:val="24"/>
        </w:rPr>
        <w:t xml:space="preserve"> Hospital</w:t>
      </w:r>
      <w:r w:rsidR="002529B0" w:rsidRPr="00DA4793">
        <w:rPr>
          <w:rFonts w:asciiTheme="majorHAnsi" w:hAnsiTheme="majorHAnsi" w:cstheme="minorHAnsi"/>
          <w:sz w:val="24"/>
          <w:szCs w:val="24"/>
        </w:rPr>
        <w:t xml:space="preserve">, </w:t>
      </w:r>
      <w:r w:rsidR="00D3779D" w:rsidRPr="00DA4793">
        <w:rPr>
          <w:rFonts w:asciiTheme="majorHAnsi" w:hAnsiTheme="majorHAnsi" w:cstheme="minorHAnsi"/>
          <w:sz w:val="24"/>
          <w:szCs w:val="24"/>
        </w:rPr>
        <w:t xml:space="preserve">Sohag University, </w:t>
      </w:r>
      <w:r w:rsidR="00D60D42" w:rsidRPr="00DA4793">
        <w:rPr>
          <w:rFonts w:asciiTheme="majorHAnsi" w:hAnsiTheme="majorHAnsi" w:cstheme="minorHAnsi"/>
          <w:sz w:val="24"/>
          <w:szCs w:val="24"/>
        </w:rPr>
        <w:t xml:space="preserve">Sohag, </w:t>
      </w:r>
      <w:r w:rsidR="002529B0" w:rsidRPr="00DA4793">
        <w:rPr>
          <w:rFonts w:asciiTheme="majorHAnsi" w:hAnsiTheme="majorHAnsi" w:cstheme="minorHAnsi"/>
          <w:sz w:val="24"/>
          <w:szCs w:val="24"/>
        </w:rPr>
        <w:t>Egypt</w:t>
      </w:r>
      <w:r w:rsidR="00296963" w:rsidRPr="00DA4793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96963" w:rsidRPr="00DA4793" w:rsidRDefault="00FA3E20" w:rsidP="00356CF3">
      <w:pPr>
        <w:bidi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A3E2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="00296963" w:rsidRPr="00DA4793">
        <w:rPr>
          <w:rFonts w:asciiTheme="majorHAnsi" w:hAnsiTheme="majorHAnsi" w:cstheme="minorHAnsi"/>
          <w:sz w:val="24"/>
          <w:szCs w:val="24"/>
        </w:rPr>
        <w:t xml:space="preserve">Pathology Department, </w:t>
      </w:r>
      <w:r w:rsidR="00156695" w:rsidRPr="00DA4793">
        <w:rPr>
          <w:rFonts w:asciiTheme="majorHAnsi" w:hAnsiTheme="majorHAnsi" w:cstheme="minorHAnsi"/>
          <w:sz w:val="24"/>
          <w:szCs w:val="24"/>
        </w:rPr>
        <w:t>Qasr El Eyni Hospital</w:t>
      </w:r>
      <w:r w:rsidR="00D50C13" w:rsidRPr="00DA4793">
        <w:rPr>
          <w:rFonts w:asciiTheme="majorHAnsi" w:hAnsiTheme="majorHAnsi" w:cstheme="minorHAnsi"/>
          <w:sz w:val="24"/>
          <w:szCs w:val="24"/>
        </w:rPr>
        <w:t xml:space="preserve">, </w:t>
      </w:r>
      <w:r w:rsidR="003B0384">
        <w:rPr>
          <w:rFonts w:asciiTheme="majorHAnsi" w:hAnsiTheme="majorHAnsi" w:cstheme="minorHAnsi"/>
          <w:sz w:val="24"/>
          <w:szCs w:val="24"/>
        </w:rPr>
        <w:t xml:space="preserve">Cairo University, </w:t>
      </w:r>
      <w:r w:rsidR="00296963" w:rsidRPr="00DA4793">
        <w:rPr>
          <w:rFonts w:asciiTheme="majorHAnsi" w:hAnsiTheme="majorHAnsi" w:cstheme="minorHAnsi"/>
          <w:sz w:val="24"/>
          <w:szCs w:val="24"/>
        </w:rPr>
        <w:t>Cairo, Egypt</w:t>
      </w:r>
    </w:p>
    <w:p w:rsidR="008409FD" w:rsidRPr="0095418B" w:rsidRDefault="008409FD" w:rsidP="00356CF3">
      <w:pPr>
        <w:bidi w:val="0"/>
        <w:spacing w:before="240" w:after="80" w:line="240" w:lineRule="auto"/>
        <w:rPr>
          <w:rFonts w:asciiTheme="majorHAnsi" w:hAnsiTheme="majorHAnsi" w:cstheme="minorHAnsi"/>
          <w:b/>
          <w:bCs/>
          <w:sz w:val="28"/>
          <w:szCs w:val="28"/>
        </w:rPr>
      </w:pPr>
      <w:r w:rsidRPr="0095418B">
        <w:rPr>
          <w:rFonts w:asciiTheme="majorHAnsi" w:hAnsiTheme="majorHAnsi" w:cstheme="minorHAnsi"/>
          <w:b/>
          <w:bCs/>
          <w:sz w:val="28"/>
          <w:szCs w:val="28"/>
        </w:rPr>
        <w:t>Abstract</w:t>
      </w:r>
    </w:p>
    <w:p w:rsidR="00176AA6" w:rsidRPr="0040317F" w:rsidRDefault="00D06DB6" w:rsidP="00225DBC">
      <w:pPr>
        <w:bidi w:val="0"/>
        <w:spacing w:before="8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>Background</w:t>
      </w:r>
      <w:r w:rsidR="005E233E"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 and aim of work</w:t>
      </w:r>
      <w:r w:rsidR="00D373EC" w:rsidRPr="0040317F">
        <w:rPr>
          <w:rFonts w:asciiTheme="majorHAnsi" w:hAnsiTheme="majorHAnsi" w:cstheme="minorHAnsi"/>
          <w:b/>
          <w:bCs/>
          <w:sz w:val="24"/>
          <w:szCs w:val="24"/>
        </w:rPr>
        <w:t>:</w:t>
      </w:r>
      <w:r w:rsidR="002E3000"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6B1D0A" w:rsidRPr="0040317F">
        <w:rPr>
          <w:rFonts w:asciiTheme="majorHAnsi" w:hAnsiTheme="majorHAnsi" w:cstheme="minorHAnsi"/>
          <w:sz w:val="24"/>
          <w:szCs w:val="24"/>
        </w:rPr>
        <w:t>Idiopathic n</w:t>
      </w:r>
      <w:r w:rsidR="002E3000" w:rsidRPr="0040317F">
        <w:rPr>
          <w:rFonts w:asciiTheme="majorHAnsi" w:hAnsiTheme="majorHAnsi" w:cstheme="minorHAnsi"/>
          <w:sz w:val="24"/>
          <w:szCs w:val="24"/>
        </w:rPr>
        <w:t>ephrotic syndrome</w:t>
      </w:r>
      <w:r w:rsidR="00262ADF" w:rsidRPr="0040317F">
        <w:rPr>
          <w:rFonts w:asciiTheme="majorHAnsi" w:hAnsiTheme="majorHAnsi" w:cstheme="minorHAnsi"/>
          <w:sz w:val="24"/>
          <w:szCs w:val="24"/>
        </w:rPr>
        <w:t xml:space="preserve"> (</w:t>
      </w:r>
      <w:r w:rsidR="001047CA" w:rsidRPr="0040317F">
        <w:rPr>
          <w:rFonts w:asciiTheme="majorHAnsi" w:hAnsiTheme="majorHAnsi" w:cstheme="minorHAnsi"/>
          <w:sz w:val="24"/>
          <w:szCs w:val="24"/>
        </w:rPr>
        <w:t>I</w:t>
      </w:r>
      <w:r w:rsidR="00262ADF" w:rsidRPr="0040317F">
        <w:rPr>
          <w:rFonts w:asciiTheme="majorHAnsi" w:hAnsiTheme="majorHAnsi" w:cstheme="minorHAnsi"/>
          <w:sz w:val="24"/>
          <w:szCs w:val="24"/>
        </w:rPr>
        <w:t>NS)</w:t>
      </w:r>
      <w:r w:rsidR="002E3000" w:rsidRPr="0040317F">
        <w:rPr>
          <w:rFonts w:asciiTheme="majorHAnsi" w:hAnsiTheme="majorHAnsi" w:cstheme="minorHAnsi"/>
          <w:sz w:val="24"/>
          <w:szCs w:val="24"/>
        </w:rPr>
        <w:t xml:space="preserve"> is a common and important chronic kidney disease in childhood</w:t>
      </w:r>
      <w:r w:rsidR="006B1D0A" w:rsidRPr="0040317F">
        <w:rPr>
          <w:rFonts w:asciiTheme="majorHAnsi" w:hAnsiTheme="majorHAnsi" w:cstheme="minorHAnsi"/>
          <w:sz w:val="24"/>
          <w:szCs w:val="24"/>
        </w:rPr>
        <w:t>.</w:t>
      </w:r>
      <w:r w:rsidR="00610FE7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2E3000" w:rsidRPr="0040317F">
        <w:rPr>
          <w:rFonts w:asciiTheme="majorHAnsi" w:hAnsiTheme="majorHAnsi" w:cstheme="minorHAnsi"/>
          <w:sz w:val="24"/>
          <w:szCs w:val="24"/>
        </w:rPr>
        <w:t xml:space="preserve">Steroid response pattern </w:t>
      </w:r>
      <w:r w:rsidR="006B1D0A" w:rsidRPr="0040317F">
        <w:rPr>
          <w:rFonts w:asciiTheme="majorHAnsi" w:hAnsiTheme="majorHAnsi" w:cstheme="minorHAnsi"/>
          <w:sz w:val="24"/>
          <w:szCs w:val="24"/>
        </w:rPr>
        <w:t xml:space="preserve">and the underlying histopathological </w:t>
      </w:r>
      <w:r w:rsidR="00B56B17" w:rsidRPr="0040317F">
        <w:rPr>
          <w:rFonts w:asciiTheme="majorHAnsi" w:hAnsiTheme="majorHAnsi" w:cstheme="minorHAnsi"/>
          <w:sz w:val="24"/>
          <w:szCs w:val="24"/>
        </w:rPr>
        <w:t>spectrum</w:t>
      </w:r>
      <w:r w:rsidR="006B1D0A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1047CA" w:rsidRPr="0040317F">
        <w:rPr>
          <w:rFonts w:asciiTheme="majorHAnsi" w:hAnsiTheme="majorHAnsi" w:cstheme="minorHAnsi"/>
          <w:sz w:val="24"/>
          <w:szCs w:val="24"/>
        </w:rPr>
        <w:t xml:space="preserve">of INS show variabilities </w:t>
      </w:r>
      <w:r w:rsidR="006B1D0A" w:rsidRPr="0040317F">
        <w:rPr>
          <w:rFonts w:asciiTheme="majorHAnsi" w:hAnsiTheme="majorHAnsi" w:cstheme="minorHAnsi"/>
          <w:sz w:val="24"/>
          <w:szCs w:val="24"/>
        </w:rPr>
        <w:t xml:space="preserve">in the </w:t>
      </w:r>
      <w:r w:rsidR="001047CA" w:rsidRPr="0040317F">
        <w:rPr>
          <w:rFonts w:asciiTheme="majorHAnsi" w:hAnsiTheme="majorHAnsi" w:cstheme="minorHAnsi"/>
          <w:sz w:val="24"/>
          <w:szCs w:val="24"/>
        </w:rPr>
        <w:t xml:space="preserve">different </w:t>
      </w:r>
      <w:r w:rsidR="006B1D0A" w:rsidRPr="0040317F">
        <w:rPr>
          <w:rFonts w:asciiTheme="majorHAnsi" w:hAnsiTheme="majorHAnsi" w:cstheme="minorHAnsi"/>
          <w:sz w:val="24"/>
          <w:szCs w:val="24"/>
        </w:rPr>
        <w:t>geographical regions</w:t>
      </w:r>
      <w:r w:rsidR="009F71D4" w:rsidRPr="0040317F">
        <w:rPr>
          <w:rFonts w:asciiTheme="majorHAnsi" w:hAnsiTheme="majorHAnsi" w:cstheme="minorHAnsi"/>
          <w:sz w:val="24"/>
          <w:szCs w:val="24"/>
        </w:rPr>
        <w:t xml:space="preserve">. </w:t>
      </w:r>
      <w:r w:rsidR="00176AA6" w:rsidRPr="0040317F">
        <w:rPr>
          <w:rFonts w:asciiTheme="majorHAnsi" w:hAnsiTheme="majorHAnsi" w:cstheme="minorHAnsi"/>
          <w:sz w:val="24"/>
          <w:szCs w:val="24"/>
        </w:rPr>
        <w:t>This work aim</w:t>
      </w:r>
      <w:r w:rsidR="00225DBC">
        <w:rPr>
          <w:rFonts w:asciiTheme="majorHAnsi" w:hAnsiTheme="majorHAnsi" w:cstheme="minorHAnsi"/>
          <w:sz w:val="24"/>
          <w:szCs w:val="24"/>
        </w:rPr>
        <w:t>ed</w:t>
      </w:r>
      <w:r w:rsidR="00176AA6" w:rsidRPr="0040317F">
        <w:rPr>
          <w:rFonts w:asciiTheme="majorHAnsi" w:hAnsiTheme="majorHAnsi" w:cstheme="minorHAnsi"/>
          <w:sz w:val="24"/>
          <w:szCs w:val="24"/>
        </w:rPr>
        <w:t xml:space="preserve"> to highlight the </w:t>
      </w:r>
      <w:r w:rsidR="00F533E8" w:rsidRPr="0040317F">
        <w:rPr>
          <w:rFonts w:asciiTheme="majorHAnsi" w:hAnsiTheme="majorHAnsi" w:cstheme="minorHAnsi"/>
          <w:sz w:val="24"/>
          <w:szCs w:val="24"/>
        </w:rPr>
        <w:t>clinical profile</w:t>
      </w:r>
      <w:r w:rsidR="00176AA6" w:rsidRPr="0040317F">
        <w:rPr>
          <w:rFonts w:asciiTheme="majorHAnsi" w:hAnsiTheme="majorHAnsi" w:cstheme="minorHAnsi"/>
          <w:sz w:val="24"/>
          <w:szCs w:val="24"/>
        </w:rPr>
        <w:t>,</w:t>
      </w:r>
      <w:r w:rsidR="00903343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300507" w:rsidRPr="0040317F">
        <w:rPr>
          <w:rFonts w:asciiTheme="majorHAnsi" w:hAnsiTheme="majorHAnsi" w:cstheme="minorHAnsi"/>
          <w:sz w:val="24"/>
          <w:szCs w:val="24"/>
        </w:rPr>
        <w:t xml:space="preserve">steroid response pattern and </w:t>
      </w:r>
      <w:r w:rsidR="00F533E8" w:rsidRPr="0040317F">
        <w:rPr>
          <w:rFonts w:asciiTheme="majorHAnsi" w:hAnsiTheme="majorHAnsi" w:cstheme="minorHAnsi"/>
          <w:sz w:val="24"/>
          <w:szCs w:val="24"/>
        </w:rPr>
        <w:t xml:space="preserve">histopathological spectrum </w:t>
      </w:r>
      <w:r w:rsidR="00300507" w:rsidRPr="0040317F">
        <w:rPr>
          <w:rFonts w:asciiTheme="majorHAnsi" w:hAnsiTheme="majorHAnsi" w:cstheme="minorHAnsi"/>
          <w:sz w:val="24"/>
          <w:szCs w:val="24"/>
        </w:rPr>
        <w:t>of INS</w:t>
      </w:r>
      <w:r w:rsidR="00F533E8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176AA6" w:rsidRPr="0040317F">
        <w:rPr>
          <w:rFonts w:asciiTheme="majorHAnsi" w:hAnsiTheme="majorHAnsi" w:cstheme="minorHAnsi"/>
          <w:sz w:val="24"/>
          <w:szCs w:val="24"/>
        </w:rPr>
        <w:t>in our locality in Sohag</w:t>
      </w:r>
      <w:r w:rsidR="00383840" w:rsidRPr="0040317F">
        <w:rPr>
          <w:rFonts w:asciiTheme="majorHAnsi" w:hAnsiTheme="majorHAnsi" w:cstheme="minorHAnsi"/>
          <w:sz w:val="24"/>
          <w:szCs w:val="24"/>
        </w:rPr>
        <w:t xml:space="preserve">, </w:t>
      </w:r>
      <w:r w:rsidR="00176AA6" w:rsidRPr="0040317F">
        <w:rPr>
          <w:rFonts w:asciiTheme="majorHAnsi" w:hAnsiTheme="majorHAnsi" w:cstheme="minorHAnsi"/>
          <w:sz w:val="24"/>
          <w:szCs w:val="24"/>
        </w:rPr>
        <w:t>Upper Egypt.</w:t>
      </w:r>
    </w:p>
    <w:p w:rsidR="00365F52" w:rsidRPr="0040317F" w:rsidRDefault="004F78BA" w:rsidP="00834BFC">
      <w:pPr>
        <w:bidi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Patients and </w:t>
      </w:r>
      <w:r w:rsidR="000C0B9A"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Methods: </w:t>
      </w:r>
      <w:r w:rsidR="00D85D39" w:rsidRPr="0040317F">
        <w:rPr>
          <w:rFonts w:asciiTheme="majorHAnsi" w:hAnsiTheme="majorHAnsi" w:cstheme="minorHAnsi"/>
          <w:sz w:val="24"/>
          <w:szCs w:val="24"/>
        </w:rPr>
        <w:t>A prospective study</w:t>
      </w:r>
      <w:r w:rsidR="002E01A7" w:rsidRPr="0040317F">
        <w:rPr>
          <w:rFonts w:asciiTheme="majorHAnsi" w:hAnsiTheme="majorHAnsi" w:cstheme="minorHAnsi"/>
          <w:sz w:val="24"/>
          <w:szCs w:val="24"/>
        </w:rPr>
        <w:t xml:space="preserve"> included </w:t>
      </w:r>
      <w:r w:rsidR="00894492" w:rsidRPr="0040317F">
        <w:rPr>
          <w:rFonts w:asciiTheme="majorHAnsi" w:hAnsiTheme="majorHAnsi" w:cstheme="minorHAnsi"/>
          <w:sz w:val="24"/>
          <w:szCs w:val="24"/>
        </w:rPr>
        <w:t>77</w:t>
      </w:r>
      <w:r w:rsidR="00CD6333" w:rsidRPr="0040317F">
        <w:rPr>
          <w:rFonts w:asciiTheme="majorHAnsi" w:hAnsiTheme="majorHAnsi" w:cstheme="minorHAnsi"/>
          <w:sz w:val="24"/>
          <w:szCs w:val="24"/>
        </w:rPr>
        <w:t xml:space="preserve"> children with INS aged </w:t>
      </w:r>
      <w:r w:rsidR="008457B8" w:rsidRPr="0040317F">
        <w:rPr>
          <w:rFonts w:asciiTheme="majorHAnsi" w:hAnsiTheme="majorHAnsi" w:cstheme="minorHAnsi"/>
          <w:sz w:val="24"/>
          <w:szCs w:val="24"/>
        </w:rPr>
        <w:t xml:space="preserve">from </w:t>
      </w:r>
      <w:r w:rsidR="00895281" w:rsidRPr="0040317F">
        <w:rPr>
          <w:rFonts w:asciiTheme="majorHAnsi" w:hAnsiTheme="majorHAnsi" w:cstheme="minorHAnsi"/>
          <w:sz w:val="24"/>
          <w:szCs w:val="24"/>
        </w:rPr>
        <w:t>1-</w:t>
      </w:r>
      <w:r w:rsidR="00CD6333" w:rsidRPr="0040317F">
        <w:rPr>
          <w:rFonts w:asciiTheme="majorHAnsi" w:hAnsiTheme="majorHAnsi" w:cstheme="minorHAnsi"/>
          <w:sz w:val="24"/>
          <w:szCs w:val="24"/>
        </w:rPr>
        <w:t>15 years followed for at least one year</w:t>
      </w:r>
      <w:r w:rsidR="00C13210" w:rsidRPr="0040317F">
        <w:rPr>
          <w:rFonts w:asciiTheme="majorHAnsi" w:hAnsiTheme="majorHAnsi" w:cstheme="minorHAnsi"/>
          <w:sz w:val="24"/>
          <w:szCs w:val="24"/>
        </w:rPr>
        <w:t>,</w:t>
      </w:r>
      <w:r w:rsidR="004A48FD" w:rsidRPr="0040317F">
        <w:rPr>
          <w:rFonts w:asciiTheme="majorHAnsi" w:hAnsiTheme="majorHAnsi" w:cstheme="minorHAnsi"/>
          <w:sz w:val="24"/>
          <w:szCs w:val="24"/>
        </w:rPr>
        <w:t xml:space="preserve"> diagnosed and treated </w:t>
      </w:r>
      <w:r w:rsidR="00834BFC" w:rsidRPr="0040317F">
        <w:rPr>
          <w:rFonts w:asciiTheme="majorHAnsi" w:hAnsiTheme="majorHAnsi" w:cstheme="minorHAnsi"/>
          <w:sz w:val="24"/>
          <w:szCs w:val="24"/>
        </w:rPr>
        <w:t>at</w:t>
      </w:r>
      <w:r w:rsidR="004A48FD" w:rsidRPr="0040317F">
        <w:rPr>
          <w:rFonts w:asciiTheme="majorHAnsi" w:hAnsiTheme="majorHAnsi" w:cstheme="minorHAnsi"/>
          <w:sz w:val="24"/>
          <w:szCs w:val="24"/>
        </w:rPr>
        <w:t xml:space="preserve"> our pediatric nephrology unit in the period</w:t>
      </w:r>
      <w:r w:rsidR="006E36A0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12184D" w:rsidRPr="0040317F">
        <w:rPr>
          <w:rFonts w:asciiTheme="majorHAnsi" w:hAnsiTheme="majorHAnsi" w:cstheme="minorHAnsi"/>
          <w:sz w:val="24"/>
          <w:szCs w:val="24"/>
        </w:rPr>
        <w:t>from Jan</w:t>
      </w:r>
      <w:r w:rsidR="00834BFC" w:rsidRPr="0040317F">
        <w:rPr>
          <w:rFonts w:asciiTheme="majorHAnsi" w:hAnsiTheme="majorHAnsi" w:cstheme="minorHAnsi"/>
          <w:sz w:val="24"/>
          <w:szCs w:val="24"/>
        </w:rPr>
        <w:t>uary</w:t>
      </w:r>
      <w:r w:rsidR="0012184D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4A48FD" w:rsidRPr="0040317F">
        <w:rPr>
          <w:rFonts w:asciiTheme="majorHAnsi" w:hAnsiTheme="majorHAnsi" w:cstheme="minorHAnsi"/>
          <w:sz w:val="24"/>
          <w:szCs w:val="24"/>
        </w:rPr>
        <w:t>20</w:t>
      </w:r>
      <w:r w:rsidR="0012184D" w:rsidRPr="0040317F">
        <w:rPr>
          <w:rFonts w:asciiTheme="majorHAnsi" w:hAnsiTheme="majorHAnsi" w:cstheme="minorHAnsi"/>
          <w:sz w:val="24"/>
          <w:szCs w:val="24"/>
        </w:rPr>
        <w:t>1</w:t>
      </w:r>
      <w:r w:rsidR="004A48FD" w:rsidRPr="0040317F">
        <w:rPr>
          <w:rFonts w:asciiTheme="majorHAnsi" w:hAnsiTheme="majorHAnsi" w:cstheme="minorHAnsi"/>
          <w:sz w:val="24"/>
          <w:szCs w:val="24"/>
        </w:rPr>
        <w:t xml:space="preserve">0 to </w:t>
      </w:r>
      <w:r w:rsidR="0012184D" w:rsidRPr="0040317F">
        <w:rPr>
          <w:rFonts w:asciiTheme="majorHAnsi" w:hAnsiTheme="majorHAnsi" w:cstheme="minorHAnsi"/>
          <w:sz w:val="24"/>
          <w:szCs w:val="24"/>
        </w:rPr>
        <w:t>Dec</w:t>
      </w:r>
      <w:r w:rsidR="00834BFC" w:rsidRPr="0040317F">
        <w:rPr>
          <w:rFonts w:asciiTheme="majorHAnsi" w:hAnsiTheme="majorHAnsi" w:cstheme="minorHAnsi"/>
          <w:sz w:val="24"/>
          <w:szCs w:val="24"/>
        </w:rPr>
        <w:t>ember</w:t>
      </w:r>
      <w:r w:rsidR="0012184D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4A48FD" w:rsidRPr="0040317F">
        <w:rPr>
          <w:rFonts w:asciiTheme="majorHAnsi" w:hAnsiTheme="majorHAnsi" w:cstheme="minorHAnsi"/>
          <w:sz w:val="24"/>
          <w:szCs w:val="24"/>
        </w:rPr>
        <w:t>2014</w:t>
      </w:r>
      <w:r w:rsidR="00CD6333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BE3936" w:rsidRPr="0040317F">
        <w:rPr>
          <w:rFonts w:asciiTheme="majorHAnsi" w:hAnsiTheme="majorHAnsi" w:cstheme="minorHAnsi"/>
          <w:sz w:val="24"/>
          <w:szCs w:val="24"/>
        </w:rPr>
        <w:t>was</w:t>
      </w:r>
      <w:r w:rsidR="00CD6333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C13210" w:rsidRPr="0040317F">
        <w:rPr>
          <w:rFonts w:asciiTheme="majorHAnsi" w:hAnsiTheme="majorHAnsi" w:cstheme="minorHAnsi"/>
          <w:sz w:val="24"/>
          <w:szCs w:val="24"/>
        </w:rPr>
        <w:t>done</w:t>
      </w:r>
      <w:r w:rsidR="00CD6333" w:rsidRPr="0040317F">
        <w:rPr>
          <w:rFonts w:asciiTheme="majorHAnsi" w:hAnsiTheme="majorHAnsi" w:cstheme="minorHAnsi"/>
          <w:sz w:val="24"/>
          <w:szCs w:val="24"/>
        </w:rPr>
        <w:t>.</w:t>
      </w:r>
      <w:r w:rsidR="00CD6333"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5E7B63" w:rsidRPr="0040317F">
        <w:rPr>
          <w:rFonts w:asciiTheme="majorHAnsi" w:hAnsiTheme="majorHAnsi" w:cstheme="minorHAnsi"/>
          <w:sz w:val="24"/>
          <w:szCs w:val="24"/>
        </w:rPr>
        <w:t xml:space="preserve">The patients' demographic </w:t>
      </w:r>
      <w:r w:rsidR="00365F52" w:rsidRPr="0040317F">
        <w:rPr>
          <w:rFonts w:asciiTheme="majorHAnsi" w:hAnsiTheme="majorHAnsi" w:cstheme="minorHAnsi"/>
          <w:sz w:val="24"/>
          <w:szCs w:val="24"/>
        </w:rPr>
        <w:t xml:space="preserve">features, clinical profile, </w:t>
      </w:r>
      <w:r w:rsidR="005E7B63" w:rsidRPr="0040317F">
        <w:rPr>
          <w:rFonts w:asciiTheme="majorHAnsi" w:hAnsiTheme="majorHAnsi" w:cstheme="minorHAnsi"/>
          <w:sz w:val="24"/>
          <w:szCs w:val="24"/>
        </w:rPr>
        <w:t xml:space="preserve">steroid response pattern and the </w:t>
      </w:r>
      <w:r w:rsidR="00A07D86" w:rsidRPr="0040317F">
        <w:rPr>
          <w:rFonts w:asciiTheme="majorHAnsi" w:hAnsiTheme="majorHAnsi" w:cstheme="minorHAnsi"/>
          <w:sz w:val="24"/>
          <w:szCs w:val="24"/>
        </w:rPr>
        <w:t>underlying histopathological spectrum</w:t>
      </w:r>
      <w:r w:rsidR="0048525E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365F52" w:rsidRPr="0040317F">
        <w:rPr>
          <w:rFonts w:asciiTheme="majorHAnsi" w:hAnsiTheme="majorHAnsi" w:cstheme="minorHAnsi"/>
          <w:sz w:val="24"/>
          <w:szCs w:val="24"/>
        </w:rPr>
        <w:t>were studied.</w:t>
      </w:r>
    </w:p>
    <w:p w:rsidR="000C0B9A" w:rsidRPr="0040317F" w:rsidRDefault="00365F52" w:rsidP="00835721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Results: </w:t>
      </w:r>
      <w:r w:rsidR="00C81E85">
        <w:rPr>
          <w:rFonts w:asciiTheme="majorHAnsi" w:hAnsiTheme="majorHAnsi" w:cstheme="minorHAnsi"/>
          <w:sz w:val="24"/>
          <w:szCs w:val="24"/>
        </w:rPr>
        <w:t>T</w:t>
      </w:r>
      <w:r w:rsidR="006E1AF8">
        <w:rPr>
          <w:rFonts w:asciiTheme="majorHAnsi" w:hAnsiTheme="majorHAnsi" w:cstheme="minorHAnsi"/>
          <w:sz w:val="24"/>
          <w:szCs w:val="24"/>
        </w:rPr>
        <w:t xml:space="preserve">otal included patients were 77 </w:t>
      </w:r>
      <w:r w:rsidR="00835721">
        <w:rPr>
          <w:rFonts w:asciiTheme="majorHAnsi" w:hAnsiTheme="majorHAnsi" w:cstheme="minorHAnsi"/>
          <w:sz w:val="24"/>
          <w:szCs w:val="24"/>
        </w:rPr>
        <w:t>children</w:t>
      </w:r>
      <w:r w:rsidR="00DF568D">
        <w:rPr>
          <w:rFonts w:asciiTheme="majorHAnsi" w:hAnsiTheme="majorHAnsi" w:cstheme="minorHAnsi"/>
          <w:sz w:val="24"/>
          <w:szCs w:val="24"/>
        </w:rPr>
        <w:t>. The</w:t>
      </w:r>
      <w:r w:rsidR="006E1AF8">
        <w:rPr>
          <w:rFonts w:asciiTheme="majorHAnsi" w:hAnsiTheme="majorHAnsi" w:cstheme="minorHAnsi"/>
          <w:sz w:val="24"/>
          <w:szCs w:val="24"/>
        </w:rPr>
        <w:t xml:space="preserve"> </w:t>
      </w:r>
      <w:r w:rsidR="00C362F7" w:rsidRPr="0040317F">
        <w:rPr>
          <w:rFonts w:asciiTheme="majorHAnsi" w:hAnsiTheme="majorHAnsi" w:cstheme="minorHAnsi"/>
          <w:sz w:val="24"/>
          <w:szCs w:val="24"/>
        </w:rPr>
        <w:t xml:space="preserve">mean age at </w:t>
      </w:r>
      <w:r w:rsidR="00453B9B" w:rsidRPr="0040317F">
        <w:rPr>
          <w:rFonts w:asciiTheme="majorHAnsi" w:hAnsiTheme="majorHAnsi" w:cstheme="minorHAnsi"/>
          <w:sz w:val="24"/>
          <w:szCs w:val="24"/>
        </w:rPr>
        <w:t>disease onset</w:t>
      </w:r>
      <w:r w:rsidR="00C362F7" w:rsidRPr="0040317F">
        <w:rPr>
          <w:rFonts w:asciiTheme="majorHAnsi" w:hAnsiTheme="majorHAnsi" w:cstheme="minorHAnsi"/>
          <w:sz w:val="24"/>
          <w:szCs w:val="24"/>
        </w:rPr>
        <w:t xml:space="preserve"> was </w:t>
      </w:r>
      <w:r w:rsidR="00090FEC" w:rsidRPr="0040317F">
        <w:rPr>
          <w:rFonts w:asciiTheme="majorHAnsi" w:hAnsiTheme="majorHAnsi" w:cstheme="minorHAnsi"/>
          <w:sz w:val="24"/>
          <w:szCs w:val="24"/>
        </w:rPr>
        <w:t xml:space="preserve">4.87±2.94 </w:t>
      </w:r>
      <w:r w:rsidR="00B66EBC" w:rsidRPr="00DE1A9B">
        <w:rPr>
          <w:rFonts w:asciiTheme="majorHAnsi" w:hAnsiTheme="majorHAnsi" w:cstheme="minorHAnsi"/>
          <w:sz w:val="24"/>
          <w:szCs w:val="24"/>
        </w:rPr>
        <w:t xml:space="preserve">(range 1.5-15) </w:t>
      </w:r>
      <w:r w:rsidR="00D835FD" w:rsidRPr="0040317F">
        <w:rPr>
          <w:rFonts w:asciiTheme="majorHAnsi" w:hAnsiTheme="majorHAnsi" w:cstheme="minorHAnsi"/>
          <w:sz w:val="24"/>
          <w:szCs w:val="24"/>
        </w:rPr>
        <w:t>years</w:t>
      </w:r>
      <w:r w:rsidR="003B6C76" w:rsidRPr="0040317F">
        <w:rPr>
          <w:rFonts w:asciiTheme="majorHAnsi" w:hAnsiTheme="majorHAnsi" w:cstheme="minorHAnsi"/>
          <w:sz w:val="24"/>
          <w:szCs w:val="24"/>
        </w:rPr>
        <w:t>.</w:t>
      </w:r>
      <w:r w:rsidR="00D835FD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3B6C76" w:rsidRPr="0040317F">
        <w:rPr>
          <w:rFonts w:asciiTheme="majorHAnsi" w:hAnsiTheme="majorHAnsi" w:cstheme="minorHAnsi"/>
          <w:sz w:val="24"/>
          <w:szCs w:val="24"/>
        </w:rPr>
        <w:t>M</w:t>
      </w:r>
      <w:r w:rsidR="00D835FD" w:rsidRPr="0040317F">
        <w:rPr>
          <w:rFonts w:asciiTheme="majorHAnsi" w:hAnsiTheme="majorHAnsi" w:cstheme="minorHAnsi"/>
          <w:sz w:val="24"/>
          <w:szCs w:val="24"/>
        </w:rPr>
        <w:t>ale/female ratio was 1.</w:t>
      </w:r>
      <w:r w:rsidR="00127584" w:rsidRPr="0040317F">
        <w:rPr>
          <w:rFonts w:asciiTheme="majorHAnsi" w:hAnsiTheme="majorHAnsi" w:cstheme="minorHAnsi"/>
          <w:sz w:val="24"/>
          <w:szCs w:val="24"/>
        </w:rPr>
        <w:t>6</w:t>
      </w:r>
      <w:r w:rsidR="00D835FD" w:rsidRPr="0040317F">
        <w:rPr>
          <w:rFonts w:asciiTheme="majorHAnsi" w:hAnsiTheme="majorHAnsi" w:cstheme="minorHAnsi"/>
          <w:sz w:val="24"/>
          <w:szCs w:val="24"/>
        </w:rPr>
        <w:t>/1</w:t>
      </w:r>
      <w:r w:rsidR="003B6C76" w:rsidRPr="0040317F">
        <w:rPr>
          <w:rFonts w:asciiTheme="majorHAnsi" w:hAnsiTheme="majorHAnsi" w:cstheme="minorHAnsi"/>
          <w:sz w:val="24"/>
          <w:szCs w:val="24"/>
        </w:rPr>
        <w:t>.</w:t>
      </w:r>
      <w:r w:rsidR="006C7642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3B6C76" w:rsidRPr="0040317F">
        <w:rPr>
          <w:rFonts w:asciiTheme="majorHAnsi" w:hAnsiTheme="majorHAnsi" w:cstheme="minorHAnsi"/>
          <w:sz w:val="24"/>
          <w:szCs w:val="24"/>
        </w:rPr>
        <w:t xml:space="preserve">Steroid </w:t>
      </w:r>
      <w:r w:rsidR="00743347" w:rsidRPr="0040317F">
        <w:rPr>
          <w:rFonts w:asciiTheme="majorHAnsi" w:hAnsiTheme="majorHAnsi" w:cstheme="minorHAnsi"/>
          <w:sz w:val="24"/>
          <w:szCs w:val="24"/>
        </w:rPr>
        <w:t>was given to all patients, 79.2%</w:t>
      </w:r>
      <w:r w:rsidR="00453B9B" w:rsidRPr="0040317F">
        <w:rPr>
          <w:rFonts w:asciiTheme="majorHAnsi" w:hAnsiTheme="majorHAnsi" w:cstheme="minorHAnsi"/>
          <w:sz w:val="24"/>
          <w:szCs w:val="24"/>
        </w:rPr>
        <w:t xml:space="preserve"> of patients</w:t>
      </w:r>
      <w:r w:rsidR="00743347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453B9B" w:rsidRPr="0040317F">
        <w:rPr>
          <w:rFonts w:asciiTheme="majorHAnsi" w:hAnsiTheme="majorHAnsi" w:cstheme="minorHAnsi"/>
          <w:sz w:val="24"/>
          <w:szCs w:val="24"/>
        </w:rPr>
        <w:t>had</w:t>
      </w:r>
      <w:r w:rsidR="00743347" w:rsidRPr="0040317F">
        <w:rPr>
          <w:rFonts w:asciiTheme="majorHAnsi" w:hAnsiTheme="majorHAnsi" w:cstheme="minorHAnsi"/>
          <w:sz w:val="24"/>
          <w:szCs w:val="24"/>
        </w:rPr>
        <w:t xml:space="preserve"> steroid sensitive nephrotic syndrome (SSNS), while 20.8% had steroid resistant nephrotic syndrome (SRNS)</w:t>
      </w:r>
      <w:r w:rsidR="00910FA6" w:rsidRPr="0040317F">
        <w:rPr>
          <w:rFonts w:asciiTheme="majorHAnsi" w:hAnsiTheme="majorHAnsi" w:cstheme="minorHAnsi"/>
          <w:sz w:val="24"/>
          <w:szCs w:val="24"/>
        </w:rPr>
        <w:t>.</w:t>
      </w:r>
      <w:r w:rsidR="003B6C76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F74395" w:rsidRPr="0040317F">
        <w:rPr>
          <w:rFonts w:asciiTheme="majorHAnsi" w:hAnsiTheme="majorHAnsi" w:cstheme="minorHAnsi"/>
          <w:sz w:val="24"/>
          <w:szCs w:val="24"/>
        </w:rPr>
        <w:t xml:space="preserve">Out of </w:t>
      </w:r>
      <w:r w:rsidR="00743347" w:rsidRPr="0040317F">
        <w:rPr>
          <w:rFonts w:asciiTheme="majorHAnsi" w:hAnsiTheme="majorHAnsi" w:cstheme="minorHAnsi"/>
          <w:sz w:val="24"/>
          <w:szCs w:val="24"/>
        </w:rPr>
        <w:t xml:space="preserve">61 </w:t>
      </w:r>
      <w:r w:rsidR="00F74395" w:rsidRPr="0040317F">
        <w:rPr>
          <w:rFonts w:asciiTheme="majorHAnsi" w:hAnsiTheme="majorHAnsi" w:cstheme="minorHAnsi"/>
          <w:sz w:val="24"/>
          <w:szCs w:val="24"/>
        </w:rPr>
        <w:t xml:space="preserve">steroid sensitive patients, about </w:t>
      </w:r>
      <w:r w:rsidR="00743347" w:rsidRPr="0040317F">
        <w:rPr>
          <w:rFonts w:asciiTheme="majorHAnsi" w:hAnsiTheme="majorHAnsi" w:cstheme="minorHAnsi"/>
          <w:sz w:val="24"/>
          <w:szCs w:val="24"/>
        </w:rPr>
        <w:t>54</w:t>
      </w:r>
      <w:r w:rsidR="00F74395" w:rsidRPr="0040317F">
        <w:rPr>
          <w:rFonts w:asciiTheme="majorHAnsi" w:hAnsiTheme="majorHAnsi" w:cstheme="minorHAnsi"/>
          <w:sz w:val="24"/>
          <w:szCs w:val="24"/>
        </w:rPr>
        <w:t>% developed either steroid dependent</w:t>
      </w:r>
      <w:r w:rsidR="00BF687E" w:rsidRPr="0040317F">
        <w:rPr>
          <w:rFonts w:asciiTheme="majorHAnsi" w:hAnsiTheme="majorHAnsi" w:cstheme="minorHAnsi"/>
          <w:sz w:val="24"/>
          <w:szCs w:val="24"/>
        </w:rPr>
        <w:t xml:space="preserve"> nephrotic syndrome (SDNS)</w:t>
      </w:r>
      <w:r w:rsidR="00F74395" w:rsidRPr="0040317F">
        <w:rPr>
          <w:rFonts w:asciiTheme="majorHAnsi" w:hAnsiTheme="majorHAnsi" w:cstheme="minorHAnsi"/>
          <w:sz w:val="24"/>
          <w:szCs w:val="24"/>
        </w:rPr>
        <w:t xml:space="preserve"> or frequently relapsing</w:t>
      </w:r>
      <w:r w:rsidR="00BF687E" w:rsidRPr="0040317F">
        <w:rPr>
          <w:rFonts w:asciiTheme="majorHAnsi" w:hAnsiTheme="majorHAnsi" w:cstheme="minorHAnsi"/>
          <w:sz w:val="24"/>
          <w:szCs w:val="24"/>
        </w:rPr>
        <w:t xml:space="preserve"> nephrotic syndrome (FRNS)</w:t>
      </w:r>
      <w:r w:rsidR="00F74395" w:rsidRPr="0040317F">
        <w:rPr>
          <w:rFonts w:asciiTheme="majorHAnsi" w:hAnsiTheme="majorHAnsi" w:cstheme="minorHAnsi"/>
          <w:sz w:val="24"/>
          <w:szCs w:val="24"/>
        </w:rPr>
        <w:t xml:space="preserve">. </w:t>
      </w:r>
      <w:r w:rsidR="004B559A" w:rsidRPr="0040317F">
        <w:rPr>
          <w:rFonts w:asciiTheme="majorHAnsi" w:hAnsiTheme="majorHAnsi" w:cstheme="minorHAnsi"/>
          <w:sz w:val="24"/>
          <w:szCs w:val="24"/>
        </w:rPr>
        <w:t xml:space="preserve">Biopsy </w:t>
      </w:r>
      <w:r w:rsidR="00910FA6" w:rsidRPr="0040317F">
        <w:rPr>
          <w:rFonts w:asciiTheme="majorHAnsi" w:hAnsiTheme="majorHAnsi" w:cstheme="minorHAnsi"/>
          <w:sz w:val="24"/>
          <w:szCs w:val="24"/>
        </w:rPr>
        <w:t xml:space="preserve">was done in </w:t>
      </w:r>
      <w:r w:rsidR="00301E69" w:rsidRPr="0040317F">
        <w:rPr>
          <w:rFonts w:asciiTheme="majorHAnsi" w:hAnsiTheme="majorHAnsi" w:cstheme="minorHAnsi"/>
          <w:sz w:val="24"/>
          <w:szCs w:val="24"/>
        </w:rPr>
        <w:t>33.</w:t>
      </w:r>
      <w:r w:rsidR="0078182D" w:rsidRPr="0040317F">
        <w:rPr>
          <w:rFonts w:asciiTheme="majorHAnsi" w:hAnsiTheme="majorHAnsi" w:cstheme="minorHAnsi"/>
          <w:sz w:val="24"/>
          <w:szCs w:val="24"/>
        </w:rPr>
        <w:t>8</w:t>
      </w:r>
      <w:r w:rsidR="00910FA6" w:rsidRPr="0040317F">
        <w:rPr>
          <w:rFonts w:asciiTheme="majorHAnsi" w:hAnsiTheme="majorHAnsi" w:cstheme="minorHAnsi"/>
          <w:sz w:val="24"/>
          <w:szCs w:val="24"/>
        </w:rPr>
        <w:t xml:space="preserve">% of patients and </w:t>
      </w:r>
      <w:r w:rsidR="008258FC" w:rsidRPr="0040317F">
        <w:rPr>
          <w:rFonts w:asciiTheme="majorHAnsi" w:hAnsiTheme="majorHAnsi" w:cstheme="minorHAnsi"/>
          <w:sz w:val="24"/>
          <w:szCs w:val="24"/>
        </w:rPr>
        <w:t xml:space="preserve">revealed </w:t>
      </w:r>
      <w:r w:rsidR="00A2513B" w:rsidRPr="0040317F">
        <w:rPr>
          <w:rFonts w:asciiTheme="majorHAnsi" w:hAnsiTheme="majorHAnsi" w:cstheme="minorHAnsi"/>
          <w:sz w:val="24"/>
          <w:szCs w:val="24"/>
        </w:rPr>
        <w:t xml:space="preserve">focal segmental glomerulosclerosis (FSGS) in 42%, </w:t>
      </w:r>
      <w:r w:rsidR="002D22CF" w:rsidRPr="0040317F">
        <w:rPr>
          <w:rFonts w:asciiTheme="majorHAnsi" w:hAnsiTheme="majorHAnsi" w:cstheme="minorHAnsi"/>
          <w:sz w:val="24"/>
          <w:szCs w:val="24"/>
        </w:rPr>
        <w:t>minimal change disease</w:t>
      </w:r>
      <w:r w:rsidR="00FF0833" w:rsidRPr="0040317F">
        <w:rPr>
          <w:rFonts w:asciiTheme="majorHAnsi" w:hAnsiTheme="majorHAnsi" w:cstheme="minorHAnsi"/>
          <w:sz w:val="24"/>
          <w:szCs w:val="24"/>
        </w:rPr>
        <w:t xml:space="preserve"> (MCD)</w:t>
      </w:r>
      <w:r w:rsidR="002D22CF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4B559A" w:rsidRPr="0040317F">
        <w:rPr>
          <w:rFonts w:asciiTheme="majorHAnsi" w:hAnsiTheme="majorHAnsi" w:cstheme="minorHAnsi"/>
          <w:sz w:val="24"/>
          <w:szCs w:val="24"/>
        </w:rPr>
        <w:t xml:space="preserve">in </w:t>
      </w:r>
      <w:r w:rsidR="00637BED" w:rsidRPr="0040317F">
        <w:rPr>
          <w:rFonts w:asciiTheme="majorHAnsi" w:hAnsiTheme="majorHAnsi" w:cstheme="minorHAnsi"/>
          <w:sz w:val="24"/>
          <w:szCs w:val="24"/>
        </w:rPr>
        <w:t>3</w:t>
      </w:r>
      <w:r w:rsidR="00FF2D19" w:rsidRPr="0040317F">
        <w:rPr>
          <w:rFonts w:asciiTheme="majorHAnsi" w:hAnsiTheme="majorHAnsi" w:cstheme="minorHAnsi"/>
          <w:sz w:val="24"/>
          <w:szCs w:val="24"/>
        </w:rPr>
        <w:t>9</w:t>
      </w:r>
      <w:r w:rsidR="00C26238">
        <w:rPr>
          <w:rFonts w:asciiTheme="majorHAnsi" w:hAnsiTheme="majorHAnsi" w:cstheme="minorHAnsi"/>
          <w:sz w:val="24"/>
          <w:szCs w:val="24"/>
        </w:rPr>
        <w:t>%</w:t>
      </w:r>
      <w:r w:rsidR="004B559A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C26238">
        <w:rPr>
          <w:rFonts w:asciiTheme="majorHAnsi" w:hAnsiTheme="majorHAnsi" w:cstheme="minorHAnsi"/>
          <w:sz w:val="24"/>
          <w:szCs w:val="24"/>
        </w:rPr>
        <w:t xml:space="preserve">and </w:t>
      </w:r>
      <w:r w:rsidR="002D22CF" w:rsidRPr="0040317F">
        <w:rPr>
          <w:rFonts w:asciiTheme="majorHAnsi" w:hAnsiTheme="majorHAnsi" w:cstheme="minorHAnsi"/>
          <w:sz w:val="24"/>
          <w:szCs w:val="24"/>
        </w:rPr>
        <w:t>mesangio</w:t>
      </w:r>
      <w:r w:rsidR="0078182D" w:rsidRPr="0040317F">
        <w:rPr>
          <w:rFonts w:asciiTheme="majorHAnsi" w:hAnsiTheme="majorHAnsi" w:cstheme="minorHAnsi"/>
          <w:sz w:val="24"/>
          <w:szCs w:val="24"/>
        </w:rPr>
        <w:t>-</w:t>
      </w:r>
      <w:r w:rsidR="002D22CF" w:rsidRPr="0040317F">
        <w:rPr>
          <w:rFonts w:asciiTheme="majorHAnsi" w:hAnsiTheme="majorHAnsi" w:cstheme="minorHAnsi"/>
          <w:sz w:val="24"/>
          <w:szCs w:val="24"/>
        </w:rPr>
        <w:t>proliferative glomerulonephritis</w:t>
      </w:r>
      <w:r w:rsidR="00FF0833" w:rsidRPr="0040317F">
        <w:rPr>
          <w:rFonts w:asciiTheme="majorHAnsi" w:hAnsiTheme="majorHAnsi" w:cstheme="minorHAnsi"/>
          <w:sz w:val="24"/>
          <w:szCs w:val="24"/>
        </w:rPr>
        <w:t xml:space="preserve"> (MesPGN)</w:t>
      </w:r>
      <w:r w:rsidR="002D22CF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4B559A" w:rsidRPr="0040317F">
        <w:rPr>
          <w:rFonts w:asciiTheme="majorHAnsi" w:hAnsiTheme="majorHAnsi" w:cstheme="minorHAnsi"/>
          <w:sz w:val="24"/>
          <w:szCs w:val="24"/>
        </w:rPr>
        <w:t xml:space="preserve">in </w:t>
      </w:r>
      <w:r w:rsidR="00637BED" w:rsidRPr="0040317F">
        <w:rPr>
          <w:rFonts w:asciiTheme="majorHAnsi" w:hAnsiTheme="majorHAnsi" w:cstheme="minorHAnsi"/>
          <w:sz w:val="24"/>
          <w:szCs w:val="24"/>
        </w:rPr>
        <w:t>19</w:t>
      </w:r>
      <w:r w:rsidR="004B559A" w:rsidRPr="0040317F">
        <w:rPr>
          <w:rFonts w:asciiTheme="majorHAnsi" w:hAnsiTheme="majorHAnsi" w:cstheme="minorHAnsi"/>
          <w:sz w:val="24"/>
          <w:szCs w:val="24"/>
        </w:rPr>
        <w:t>%</w:t>
      </w:r>
      <w:r w:rsidR="00FF0833" w:rsidRPr="0040317F">
        <w:rPr>
          <w:rFonts w:asciiTheme="majorHAnsi" w:hAnsiTheme="majorHAnsi" w:cstheme="minorHAnsi"/>
          <w:sz w:val="24"/>
          <w:szCs w:val="24"/>
        </w:rPr>
        <w:t xml:space="preserve"> of</w:t>
      </w:r>
      <w:r w:rsidR="004B559A" w:rsidRPr="0040317F">
        <w:rPr>
          <w:rFonts w:asciiTheme="majorHAnsi" w:hAnsiTheme="majorHAnsi" w:cstheme="minorHAnsi"/>
          <w:sz w:val="24"/>
          <w:szCs w:val="24"/>
        </w:rPr>
        <w:t xml:space="preserve"> patients</w:t>
      </w:r>
      <w:r w:rsidR="002A1312" w:rsidRPr="0040317F">
        <w:rPr>
          <w:rFonts w:asciiTheme="majorHAnsi" w:hAnsiTheme="majorHAnsi" w:cstheme="minorHAnsi"/>
          <w:sz w:val="24"/>
          <w:szCs w:val="24"/>
        </w:rPr>
        <w:t>.</w:t>
      </w:r>
      <w:r w:rsidR="00AF1753"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DC7BD2">
        <w:rPr>
          <w:rFonts w:asciiTheme="majorHAnsi" w:hAnsiTheme="majorHAnsi" w:cstheme="minorHAnsi"/>
          <w:sz w:val="24"/>
          <w:szCs w:val="24"/>
        </w:rPr>
        <w:t>E</w:t>
      </w:r>
      <w:r w:rsidR="00C81E85">
        <w:rPr>
          <w:rFonts w:asciiTheme="majorHAnsi" w:hAnsiTheme="majorHAnsi" w:cstheme="minorHAnsi"/>
          <w:sz w:val="24"/>
          <w:szCs w:val="24"/>
        </w:rPr>
        <w:t xml:space="preserve">nd stage renal disease </w:t>
      </w:r>
      <w:r w:rsidR="00DC7BD2" w:rsidRPr="0040317F">
        <w:rPr>
          <w:rFonts w:asciiTheme="majorHAnsi" w:hAnsiTheme="majorHAnsi" w:cstheme="minorHAnsi"/>
          <w:sz w:val="24"/>
          <w:szCs w:val="24"/>
        </w:rPr>
        <w:t xml:space="preserve">(ESRD) developed </w:t>
      </w:r>
      <w:r w:rsidR="00DC7BD2">
        <w:rPr>
          <w:rFonts w:asciiTheme="majorHAnsi" w:hAnsiTheme="majorHAnsi" w:cstheme="minorHAnsi"/>
          <w:sz w:val="24"/>
          <w:szCs w:val="24"/>
        </w:rPr>
        <w:t xml:space="preserve">in 1 </w:t>
      </w:r>
      <w:r w:rsidR="008C52DA" w:rsidRPr="0040317F">
        <w:rPr>
          <w:rFonts w:asciiTheme="majorHAnsi" w:hAnsiTheme="majorHAnsi" w:cstheme="minorHAnsi"/>
          <w:sz w:val="24"/>
          <w:szCs w:val="24"/>
        </w:rPr>
        <w:t>patient with SRNS and FSGS</w:t>
      </w:r>
      <w:r w:rsidR="00C81E85">
        <w:rPr>
          <w:rFonts w:asciiTheme="majorHAnsi" w:hAnsiTheme="majorHAnsi" w:cstheme="minorHAnsi"/>
          <w:sz w:val="24"/>
          <w:szCs w:val="24"/>
        </w:rPr>
        <w:t>.</w:t>
      </w:r>
      <w:r w:rsidR="008C52DA" w:rsidRPr="0040317F">
        <w:rPr>
          <w:rFonts w:asciiTheme="majorHAnsi" w:hAnsiTheme="majorHAnsi" w:cstheme="minorHAnsi"/>
          <w:sz w:val="24"/>
          <w:szCs w:val="24"/>
        </w:rPr>
        <w:t xml:space="preserve"> </w:t>
      </w:r>
    </w:p>
    <w:p w:rsidR="00BF687E" w:rsidRPr="0040317F" w:rsidRDefault="00B3038D" w:rsidP="00463F91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 xml:space="preserve">Conclusion: </w:t>
      </w:r>
      <w:r w:rsidR="00100F82" w:rsidRPr="0040317F">
        <w:rPr>
          <w:rFonts w:asciiTheme="majorHAnsi" w:hAnsiTheme="majorHAnsi" w:cstheme="minorHAnsi"/>
          <w:color w:val="000000"/>
          <w:sz w:val="24"/>
          <w:szCs w:val="24"/>
        </w:rPr>
        <w:t>About eighty</w:t>
      </w:r>
      <w:r w:rsidR="00700310" w:rsidRPr="0040317F">
        <w:rPr>
          <w:rFonts w:asciiTheme="majorHAnsi" w:hAnsiTheme="majorHAnsi" w:cstheme="minorHAnsi"/>
          <w:color w:val="000000"/>
          <w:sz w:val="24"/>
          <w:szCs w:val="24"/>
        </w:rPr>
        <w:t xml:space="preserve"> percent of our patients were steroid sensitive but </w:t>
      </w:r>
      <w:r w:rsidR="00463F91" w:rsidRPr="0040317F">
        <w:rPr>
          <w:rFonts w:asciiTheme="majorHAnsi" w:hAnsiTheme="majorHAnsi" w:cstheme="minorHAnsi"/>
          <w:color w:val="000000"/>
          <w:sz w:val="24"/>
          <w:szCs w:val="24"/>
        </w:rPr>
        <w:t>more than</w:t>
      </w:r>
      <w:r w:rsidR="00D33BAC" w:rsidRPr="0040317F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7D562A" w:rsidRPr="0040317F">
        <w:rPr>
          <w:rFonts w:asciiTheme="majorHAnsi" w:hAnsiTheme="majorHAnsi" w:cstheme="minorHAnsi"/>
          <w:color w:val="000000"/>
          <w:sz w:val="24"/>
          <w:szCs w:val="24"/>
        </w:rPr>
        <w:t>half of them had SDNS or FRNS</w:t>
      </w:r>
      <w:r w:rsidR="00472D62" w:rsidRPr="0040317F">
        <w:rPr>
          <w:rFonts w:asciiTheme="majorHAnsi" w:hAnsiTheme="majorHAnsi" w:cstheme="minorHAnsi"/>
          <w:color w:val="000000"/>
          <w:sz w:val="24"/>
          <w:szCs w:val="24"/>
        </w:rPr>
        <w:t xml:space="preserve">. </w:t>
      </w:r>
      <w:r w:rsidR="00096D29" w:rsidRPr="0040317F">
        <w:rPr>
          <w:rFonts w:asciiTheme="majorHAnsi" w:hAnsiTheme="majorHAnsi" w:cstheme="minorHAnsi"/>
          <w:color w:val="000000"/>
          <w:sz w:val="24"/>
          <w:szCs w:val="24"/>
        </w:rPr>
        <w:t xml:space="preserve">The main histopathological pattern seen in renal biopsies was </w:t>
      </w:r>
      <w:r w:rsidR="003E0F32" w:rsidRPr="0040317F">
        <w:rPr>
          <w:rFonts w:asciiTheme="majorHAnsi" w:hAnsiTheme="majorHAnsi" w:cstheme="minorHAnsi"/>
          <w:color w:val="000000"/>
          <w:sz w:val="24"/>
          <w:szCs w:val="24"/>
        </w:rPr>
        <w:t>FSGS</w:t>
      </w:r>
      <w:r w:rsidR="004F38C1" w:rsidRPr="0040317F">
        <w:rPr>
          <w:rFonts w:asciiTheme="majorHAnsi" w:hAnsiTheme="majorHAnsi" w:cstheme="minorHAnsi"/>
          <w:color w:val="000000"/>
          <w:sz w:val="24"/>
          <w:szCs w:val="24"/>
        </w:rPr>
        <w:t xml:space="preserve">. </w:t>
      </w:r>
    </w:p>
    <w:p w:rsidR="00061240" w:rsidRPr="0040317F" w:rsidRDefault="00061240" w:rsidP="00DC7BD2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317F">
        <w:rPr>
          <w:rFonts w:asciiTheme="majorHAnsi" w:hAnsiTheme="majorHAnsi" w:cstheme="minorHAnsi"/>
          <w:b/>
          <w:bCs/>
          <w:sz w:val="24"/>
          <w:szCs w:val="24"/>
        </w:rPr>
        <w:t>Key words:</w:t>
      </w:r>
      <w:r w:rsidRPr="0040317F">
        <w:rPr>
          <w:rFonts w:asciiTheme="majorHAnsi" w:hAnsiTheme="majorHAnsi" w:cstheme="minorHAnsi"/>
          <w:sz w:val="24"/>
          <w:szCs w:val="24"/>
        </w:rPr>
        <w:t xml:space="preserve"> </w:t>
      </w:r>
      <w:r w:rsidR="00A04520" w:rsidRPr="0040317F">
        <w:rPr>
          <w:rFonts w:asciiTheme="majorHAnsi" w:hAnsiTheme="majorHAnsi" w:cstheme="minorHAnsi"/>
          <w:sz w:val="24"/>
          <w:szCs w:val="24"/>
        </w:rPr>
        <w:t xml:space="preserve">Idiopathic </w:t>
      </w:r>
      <w:r w:rsidRPr="0040317F">
        <w:rPr>
          <w:rFonts w:asciiTheme="majorHAnsi" w:hAnsiTheme="majorHAnsi" w:cstheme="minorHAnsi"/>
          <w:sz w:val="24"/>
          <w:szCs w:val="24"/>
        </w:rPr>
        <w:t xml:space="preserve">nephrotic syndrome, steroid </w:t>
      </w:r>
      <w:r w:rsidR="00E06388" w:rsidRPr="0040317F">
        <w:rPr>
          <w:rFonts w:asciiTheme="majorHAnsi" w:hAnsiTheme="majorHAnsi" w:cstheme="minorHAnsi"/>
          <w:sz w:val="24"/>
          <w:szCs w:val="24"/>
        </w:rPr>
        <w:t>response</w:t>
      </w:r>
      <w:r w:rsidR="006E22A7" w:rsidRPr="0040317F">
        <w:rPr>
          <w:rFonts w:asciiTheme="majorHAnsi" w:hAnsiTheme="majorHAnsi" w:cstheme="minorHAnsi"/>
          <w:sz w:val="24"/>
          <w:szCs w:val="24"/>
        </w:rPr>
        <w:t xml:space="preserve"> and </w:t>
      </w:r>
      <w:r w:rsidR="00A04520" w:rsidRPr="0040317F">
        <w:rPr>
          <w:rFonts w:asciiTheme="majorHAnsi" w:hAnsiTheme="majorHAnsi" w:cstheme="minorHAnsi"/>
          <w:sz w:val="24"/>
          <w:szCs w:val="24"/>
        </w:rPr>
        <w:t>focal segmental glomerulosclerosis</w:t>
      </w:r>
      <w:r w:rsidR="005D6CA1" w:rsidRPr="0040317F">
        <w:rPr>
          <w:rFonts w:asciiTheme="majorHAnsi" w:hAnsiTheme="majorHAnsi" w:cstheme="minorHAnsi"/>
          <w:sz w:val="24"/>
          <w:szCs w:val="24"/>
        </w:rPr>
        <w:t>.</w:t>
      </w:r>
    </w:p>
    <w:p w:rsidR="0047302D" w:rsidRPr="004B289C" w:rsidRDefault="0047302D" w:rsidP="005E233E">
      <w:pPr>
        <w:bidi w:val="0"/>
        <w:spacing w:before="240" w:after="80" w:line="240" w:lineRule="auto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4B289C">
        <w:rPr>
          <w:rFonts w:asciiTheme="majorHAnsi" w:hAnsiTheme="majorHAnsi" w:cstheme="minorHAnsi"/>
          <w:b/>
          <w:bCs/>
          <w:sz w:val="28"/>
          <w:szCs w:val="28"/>
        </w:rPr>
        <w:t>Introduction</w:t>
      </w:r>
    </w:p>
    <w:p w:rsidR="00D00783" w:rsidRPr="004B289C" w:rsidRDefault="003B26F4" w:rsidP="00463F91">
      <w:pPr>
        <w:autoSpaceDE w:val="0"/>
        <w:autoSpaceDN w:val="0"/>
        <w:bidi w:val="0"/>
        <w:adjustRightInd w:val="0"/>
        <w:spacing w:before="8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B289C">
        <w:rPr>
          <w:rFonts w:asciiTheme="majorHAnsi" w:hAnsiTheme="majorHAnsi" w:cstheme="minorHAnsi"/>
          <w:sz w:val="24"/>
          <w:szCs w:val="24"/>
        </w:rPr>
        <w:t>Nephrotic syndrome</w:t>
      </w:r>
      <w:r w:rsidR="00F96F37" w:rsidRPr="004B289C">
        <w:rPr>
          <w:rFonts w:asciiTheme="majorHAnsi" w:hAnsiTheme="majorHAnsi" w:cstheme="minorHAnsi"/>
          <w:sz w:val="24"/>
          <w:szCs w:val="24"/>
        </w:rPr>
        <w:t xml:space="preserve"> (NS)</w:t>
      </w:r>
      <w:r w:rsidRPr="004B289C">
        <w:rPr>
          <w:rFonts w:asciiTheme="majorHAnsi" w:hAnsiTheme="majorHAnsi" w:cstheme="minorHAnsi"/>
          <w:sz w:val="24"/>
          <w:szCs w:val="24"/>
        </w:rPr>
        <w:t xml:space="preserve"> is one of the most common chronic renal</w:t>
      </w:r>
      <w:r w:rsidR="004B16B8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Pr="004B289C">
        <w:rPr>
          <w:rFonts w:asciiTheme="majorHAnsi" w:hAnsiTheme="majorHAnsi" w:cstheme="minorHAnsi"/>
          <w:sz w:val="24"/>
          <w:szCs w:val="24"/>
        </w:rPr>
        <w:t>disease</w:t>
      </w:r>
      <w:r w:rsidR="004B16B8" w:rsidRPr="004B289C">
        <w:rPr>
          <w:rFonts w:asciiTheme="majorHAnsi" w:hAnsiTheme="majorHAnsi" w:cstheme="minorHAnsi"/>
          <w:sz w:val="24"/>
          <w:szCs w:val="24"/>
        </w:rPr>
        <w:t>s</w:t>
      </w:r>
      <w:r w:rsidRPr="004B289C">
        <w:rPr>
          <w:rFonts w:asciiTheme="majorHAnsi" w:hAnsiTheme="majorHAnsi" w:cstheme="minorHAnsi"/>
          <w:sz w:val="24"/>
          <w:szCs w:val="24"/>
        </w:rPr>
        <w:t xml:space="preserve"> in </w:t>
      </w:r>
      <w:r w:rsidR="00BC1C6B" w:rsidRPr="004B289C">
        <w:rPr>
          <w:rFonts w:asciiTheme="majorHAnsi" w:hAnsiTheme="majorHAnsi" w:cstheme="minorHAnsi"/>
          <w:sz w:val="24"/>
          <w:szCs w:val="24"/>
        </w:rPr>
        <w:t>children</w:t>
      </w:r>
      <w:r w:rsidR="00B51E80" w:rsidRPr="004B289C">
        <w:rPr>
          <w:rFonts w:asciiTheme="majorHAnsi" w:hAnsiTheme="majorHAnsi" w:cstheme="minorHAnsi"/>
          <w:sz w:val="24"/>
          <w:szCs w:val="24"/>
        </w:rPr>
        <w:t>.</w:t>
      </w:r>
      <w:r w:rsidR="00B1249D" w:rsidRPr="004B289C">
        <w:rPr>
          <w:rFonts w:asciiTheme="majorHAnsi" w:hAnsiTheme="majorHAnsi" w:cstheme="minorHAnsi"/>
          <w:sz w:val="24"/>
          <w:szCs w:val="24"/>
          <w:vertAlign w:val="superscript"/>
        </w:rPr>
        <w:t>1</w:t>
      </w:r>
      <w:r w:rsidR="00B51E80" w:rsidRPr="004B289C">
        <w:rPr>
          <w:rFonts w:asciiTheme="majorHAnsi" w:hAnsiTheme="majorHAnsi" w:cstheme="minorHAnsi"/>
          <w:sz w:val="24"/>
          <w:szCs w:val="24"/>
        </w:rPr>
        <w:t xml:space="preserve"> It has an incidence of 2-16.9 per 100.00 children</w:t>
      </w:r>
      <w:r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B51E80" w:rsidRPr="004B289C">
        <w:rPr>
          <w:rFonts w:asciiTheme="majorHAnsi" w:hAnsiTheme="majorHAnsi" w:cstheme="minorHAnsi"/>
          <w:sz w:val="24"/>
          <w:szCs w:val="24"/>
        </w:rPr>
        <w:t>worldwid</w:t>
      </w:r>
      <w:r w:rsidR="00A622DE" w:rsidRPr="004B289C">
        <w:rPr>
          <w:rFonts w:asciiTheme="majorHAnsi" w:hAnsiTheme="majorHAnsi" w:cstheme="minorHAnsi"/>
          <w:sz w:val="24"/>
          <w:szCs w:val="24"/>
        </w:rPr>
        <w:t>e</w:t>
      </w:r>
      <w:r w:rsidR="00B1249D" w:rsidRPr="004B289C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="00457CA2" w:rsidRPr="004B289C">
        <w:rPr>
          <w:rFonts w:asciiTheme="majorHAnsi" w:hAnsiTheme="majorHAnsi" w:cstheme="minorHAnsi"/>
          <w:b/>
          <w:bCs/>
          <w:i/>
          <w:iCs/>
          <w:sz w:val="24"/>
          <w:szCs w:val="24"/>
        </w:rPr>
        <w:t>.</w:t>
      </w:r>
      <w:r w:rsidR="008F663A" w:rsidRPr="004B289C">
        <w:rPr>
          <w:rFonts w:asciiTheme="majorHAnsi" w:hAnsiTheme="majorHAnsi" w:cstheme="minorHAnsi"/>
          <w:sz w:val="24"/>
          <w:szCs w:val="24"/>
        </w:rPr>
        <w:t xml:space="preserve"> Idiopathic nephrotic syndrome is the most common </w:t>
      </w:r>
      <w:r w:rsidR="00F96F37" w:rsidRPr="004B289C">
        <w:rPr>
          <w:rFonts w:asciiTheme="majorHAnsi" w:hAnsiTheme="majorHAnsi" w:cstheme="minorHAnsi"/>
          <w:sz w:val="24"/>
          <w:szCs w:val="24"/>
        </w:rPr>
        <w:t>form of NS</w:t>
      </w:r>
      <w:r w:rsidR="008F663A" w:rsidRPr="004B289C">
        <w:rPr>
          <w:rFonts w:asciiTheme="majorHAnsi" w:hAnsiTheme="majorHAnsi" w:cstheme="minorHAnsi"/>
          <w:sz w:val="24"/>
          <w:szCs w:val="24"/>
        </w:rPr>
        <w:t xml:space="preserve"> in childhood representing about 90% of all cases</w:t>
      </w:r>
      <w:r w:rsidR="00E25006" w:rsidRPr="004B289C">
        <w:rPr>
          <w:rFonts w:asciiTheme="majorHAnsi" w:hAnsiTheme="majorHAnsi" w:cstheme="minorHAnsi"/>
          <w:sz w:val="24"/>
          <w:szCs w:val="24"/>
        </w:rPr>
        <w:t xml:space="preserve"> and it is</w:t>
      </w:r>
      <w:r w:rsidR="00D96DA6" w:rsidRPr="004B289C">
        <w:rPr>
          <w:rFonts w:asciiTheme="majorHAnsi" w:hAnsiTheme="majorHAnsi" w:cstheme="minorHAnsi"/>
          <w:sz w:val="24"/>
          <w:szCs w:val="24"/>
        </w:rPr>
        <w:t xml:space="preserve"> composed of </w:t>
      </w:r>
      <w:r w:rsidR="00F96F37" w:rsidRPr="004B289C">
        <w:rPr>
          <w:rFonts w:asciiTheme="majorHAnsi" w:hAnsiTheme="majorHAnsi" w:cstheme="minorHAnsi"/>
          <w:sz w:val="24"/>
          <w:szCs w:val="24"/>
        </w:rPr>
        <w:t>NS</w:t>
      </w:r>
      <w:r w:rsidR="00D96DA6" w:rsidRPr="004B289C">
        <w:rPr>
          <w:rFonts w:asciiTheme="majorHAnsi" w:hAnsiTheme="majorHAnsi" w:cstheme="minorHAnsi"/>
          <w:sz w:val="24"/>
          <w:szCs w:val="24"/>
        </w:rPr>
        <w:t xml:space="preserve"> and primary glomerular disease without an identifiable causative disease or infection</w:t>
      </w:r>
      <w:r w:rsidR="00E25006" w:rsidRPr="004B289C">
        <w:rPr>
          <w:rFonts w:asciiTheme="majorHAnsi" w:hAnsiTheme="majorHAnsi" w:cstheme="minorHAnsi"/>
          <w:sz w:val="24"/>
          <w:szCs w:val="24"/>
        </w:rPr>
        <w:t>.</w:t>
      </w:r>
      <w:r w:rsidR="00B1249D" w:rsidRPr="004B289C">
        <w:rPr>
          <w:rFonts w:asciiTheme="majorHAnsi" w:hAnsiTheme="majorHAnsi" w:cstheme="minorHAnsi"/>
          <w:sz w:val="24"/>
          <w:szCs w:val="24"/>
          <w:vertAlign w:val="superscript"/>
        </w:rPr>
        <w:t>3</w:t>
      </w:r>
      <w:r w:rsidR="00E25006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BF5B7E" w:rsidRPr="004B289C">
        <w:rPr>
          <w:rFonts w:asciiTheme="majorHAnsi" w:hAnsiTheme="majorHAnsi" w:cstheme="minorHAnsi"/>
          <w:sz w:val="24"/>
          <w:szCs w:val="24"/>
        </w:rPr>
        <w:t xml:space="preserve">Up to 85%–90% of children with </w:t>
      </w:r>
      <w:r w:rsidR="00035A18" w:rsidRPr="004B289C">
        <w:rPr>
          <w:rFonts w:asciiTheme="majorHAnsi" w:hAnsiTheme="majorHAnsi" w:cstheme="minorHAnsi"/>
          <w:sz w:val="24"/>
          <w:szCs w:val="24"/>
        </w:rPr>
        <w:t>INS</w:t>
      </w:r>
      <w:r w:rsidR="00BF5B7E" w:rsidRPr="004B289C">
        <w:rPr>
          <w:rFonts w:asciiTheme="majorHAnsi" w:hAnsiTheme="majorHAnsi" w:cstheme="minorHAnsi"/>
          <w:sz w:val="24"/>
          <w:szCs w:val="24"/>
        </w:rPr>
        <w:t xml:space="preserve"> are steroid sensitive</w:t>
      </w:r>
      <w:r w:rsidR="00035A18" w:rsidRPr="004B289C">
        <w:rPr>
          <w:rFonts w:asciiTheme="majorHAnsi" w:hAnsiTheme="majorHAnsi" w:cstheme="minorHAnsi"/>
          <w:sz w:val="24"/>
          <w:szCs w:val="24"/>
        </w:rPr>
        <w:t xml:space="preserve">, but </w:t>
      </w:r>
      <w:r w:rsidR="0083526D" w:rsidRPr="004B289C">
        <w:rPr>
          <w:rFonts w:asciiTheme="majorHAnsi" w:hAnsiTheme="majorHAnsi" w:cstheme="minorHAnsi"/>
          <w:sz w:val="24"/>
          <w:szCs w:val="24"/>
        </w:rPr>
        <w:t>follow</w:t>
      </w:r>
      <w:r w:rsidR="00BF5B7E" w:rsidRPr="004B289C">
        <w:rPr>
          <w:rFonts w:asciiTheme="majorHAnsi" w:hAnsiTheme="majorHAnsi" w:cstheme="minorHAnsi"/>
          <w:sz w:val="24"/>
          <w:szCs w:val="24"/>
        </w:rPr>
        <w:t xml:space="preserve"> a relapsing and </w:t>
      </w:r>
      <w:r w:rsidR="00BF5B7E" w:rsidRPr="004B289C">
        <w:rPr>
          <w:rFonts w:asciiTheme="majorHAnsi" w:hAnsiTheme="majorHAnsi" w:cstheme="minorHAnsi"/>
          <w:sz w:val="24"/>
          <w:szCs w:val="24"/>
        </w:rPr>
        <w:lastRenderedPageBreak/>
        <w:t xml:space="preserve">remitting course in the majority of </w:t>
      </w:r>
      <w:r w:rsidR="00F3568B" w:rsidRPr="004B289C">
        <w:rPr>
          <w:rFonts w:asciiTheme="majorHAnsi" w:hAnsiTheme="majorHAnsi" w:cstheme="minorHAnsi"/>
          <w:sz w:val="24"/>
          <w:szCs w:val="24"/>
        </w:rPr>
        <w:t>cases</w:t>
      </w:r>
      <w:r w:rsidR="00BF5B7E" w:rsidRPr="004B289C">
        <w:rPr>
          <w:rFonts w:asciiTheme="majorHAnsi" w:hAnsiTheme="majorHAnsi" w:cstheme="minorHAnsi"/>
          <w:sz w:val="24"/>
          <w:szCs w:val="24"/>
        </w:rPr>
        <w:t>.</w:t>
      </w:r>
      <w:r w:rsidR="005643B4" w:rsidRPr="004B289C">
        <w:rPr>
          <w:rFonts w:ascii="Goudy" w:hAnsi="Goudy" w:cs="Goudy"/>
          <w:color w:val="000000"/>
          <w:sz w:val="24"/>
          <w:szCs w:val="24"/>
          <w:vertAlign w:val="superscript"/>
        </w:rPr>
        <w:t>4</w:t>
      </w:r>
      <w:r w:rsidR="00BF5B7E" w:rsidRPr="004B289C">
        <w:rPr>
          <w:rFonts w:ascii="Goudy" w:hAnsi="Goudy" w:cs="Goudy"/>
          <w:color w:val="000000"/>
          <w:sz w:val="24"/>
          <w:szCs w:val="24"/>
        </w:rPr>
        <w:t xml:space="preserve"> </w:t>
      </w:r>
      <w:r w:rsidR="00035A18" w:rsidRPr="004B289C">
        <w:rPr>
          <w:rFonts w:ascii="Goudy" w:hAnsi="Goudy" w:cs="Goudy"/>
          <w:color w:val="000000"/>
          <w:sz w:val="24"/>
          <w:szCs w:val="24"/>
        </w:rPr>
        <w:t>About half o</w:t>
      </w:r>
      <w:r w:rsidR="00BF5B7E" w:rsidRPr="004B289C">
        <w:rPr>
          <w:rFonts w:ascii="Goudy" w:hAnsi="Goudy" w:cs="Goudy"/>
          <w:color w:val="000000"/>
          <w:sz w:val="24"/>
          <w:szCs w:val="24"/>
        </w:rPr>
        <w:t>f those who relapse</w:t>
      </w:r>
      <w:r w:rsidR="00B3258A" w:rsidRPr="004B289C">
        <w:rPr>
          <w:rFonts w:ascii="Goudy" w:hAnsi="Goudy" w:cs="Goudy"/>
          <w:color w:val="000000"/>
          <w:sz w:val="24"/>
          <w:szCs w:val="24"/>
        </w:rPr>
        <w:t>,</w:t>
      </w:r>
      <w:r w:rsidR="0083526D" w:rsidRPr="004B289C">
        <w:rPr>
          <w:rFonts w:ascii="Goudy" w:hAnsi="Goudy" w:cs="Goudy"/>
          <w:color w:val="000000"/>
          <w:sz w:val="24"/>
          <w:szCs w:val="24"/>
        </w:rPr>
        <w:t xml:space="preserve"> </w:t>
      </w:r>
      <w:r w:rsidR="00643628" w:rsidRPr="004B289C">
        <w:rPr>
          <w:rFonts w:ascii="Goudy" w:hAnsi="Goudy" w:cs="Goudy"/>
          <w:color w:val="000000"/>
          <w:sz w:val="24"/>
          <w:szCs w:val="24"/>
        </w:rPr>
        <w:t xml:space="preserve">show </w:t>
      </w:r>
      <w:r w:rsidR="00BF5B7E" w:rsidRPr="004B289C">
        <w:rPr>
          <w:rFonts w:ascii="Goudy" w:hAnsi="Goudy" w:cs="Goudy"/>
          <w:color w:val="000000"/>
          <w:sz w:val="24"/>
          <w:szCs w:val="24"/>
        </w:rPr>
        <w:t xml:space="preserve">frequently </w:t>
      </w:r>
      <w:r w:rsidR="00035A18" w:rsidRPr="004B289C">
        <w:rPr>
          <w:rFonts w:ascii="Goudy" w:hAnsi="Goudy" w:cs="Goudy"/>
          <w:color w:val="000000"/>
          <w:sz w:val="24"/>
          <w:szCs w:val="24"/>
        </w:rPr>
        <w:t xml:space="preserve">relapsing </w:t>
      </w:r>
      <w:r w:rsidR="00BF5B7E" w:rsidRPr="004B289C">
        <w:rPr>
          <w:rFonts w:ascii="Goudy" w:hAnsi="Goudy" w:cs="Goudy"/>
          <w:color w:val="000000"/>
          <w:sz w:val="24"/>
          <w:szCs w:val="24"/>
        </w:rPr>
        <w:t xml:space="preserve">or steroid dependent </w:t>
      </w:r>
      <w:r w:rsidR="00035A18" w:rsidRPr="004B289C">
        <w:rPr>
          <w:rFonts w:ascii="Goudy" w:hAnsi="Goudy" w:cs="Goudy"/>
          <w:color w:val="000000"/>
          <w:sz w:val="24"/>
          <w:szCs w:val="24"/>
        </w:rPr>
        <w:t>cours</w:t>
      </w:r>
      <w:r w:rsidR="00D915DA">
        <w:rPr>
          <w:rFonts w:ascii="Goudy" w:hAnsi="Goudy" w:cs="Goudy"/>
          <w:color w:val="000000"/>
          <w:sz w:val="24"/>
          <w:szCs w:val="24"/>
        </w:rPr>
        <w:t>e</w:t>
      </w:r>
      <w:r w:rsidR="00F3568B" w:rsidRPr="004B289C">
        <w:rPr>
          <w:rFonts w:ascii="Goudy" w:hAnsi="Goudy" w:cs="Goudy"/>
          <w:color w:val="000000"/>
          <w:sz w:val="24"/>
          <w:szCs w:val="24"/>
        </w:rPr>
        <w:t>.</w:t>
      </w:r>
      <w:r w:rsidR="00F3568B" w:rsidRPr="004B289C">
        <w:rPr>
          <w:rFonts w:ascii="Goudy" w:hAnsi="Goudy" w:cs="Goudy"/>
          <w:color w:val="000000"/>
          <w:sz w:val="24"/>
          <w:szCs w:val="24"/>
          <w:vertAlign w:val="superscript"/>
        </w:rPr>
        <w:t>5</w:t>
      </w:r>
      <w:r w:rsidR="00035A18" w:rsidRPr="004B289C">
        <w:rPr>
          <w:rFonts w:ascii="Goudy" w:hAnsi="Goudy" w:cs="Goudy"/>
          <w:b/>
          <w:bCs/>
          <w:i/>
          <w:iCs/>
          <w:color w:val="000000"/>
          <w:sz w:val="24"/>
          <w:szCs w:val="24"/>
        </w:rPr>
        <w:t xml:space="preserve"> </w:t>
      </w:r>
      <w:r w:rsidR="0067115B" w:rsidRPr="004B289C">
        <w:rPr>
          <w:rFonts w:asciiTheme="majorHAnsi" w:hAnsiTheme="majorHAnsi" w:cstheme="minorHAnsi"/>
          <w:sz w:val="24"/>
          <w:szCs w:val="24"/>
        </w:rPr>
        <w:t xml:space="preserve">The underlying histopathological characteristics </w:t>
      </w:r>
      <w:r w:rsidR="00A46A31" w:rsidRPr="004B289C">
        <w:rPr>
          <w:rFonts w:asciiTheme="majorHAnsi" w:hAnsiTheme="majorHAnsi" w:cstheme="minorHAnsi"/>
          <w:sz w:val="24"/>
          <w:szCs w:val="24"/>
        </w:rPr>
        <w:t>of</w:t>
      </w:r>
      <w:r w:rsidR="0067115B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A46A31" w:rsidRPr="004B289C">
        <w:rPr>
          <w:rFonts w:asciiTheme="majorHAnsi" w:hAnsiTheme="majorHAnsi" w:cstheme="minorHAnsi"/>
          <w:sz w:val="24"/>
          <w:szCs w:val="24"/>
        </w:rPr>
        <w:t>INS</w:t>
      </w:r>
      <w:r w:rsidR="0067115B" w:rsidRPr="004B289C">
        <w:rPr>
          <w:rFonts w:asciiTheme="majorHAnsi" w:hAnsiTheme="majorHAnsi" w:cstheme="minorHAnsi"/>
          <w:sz w:val="24"/>
          <w:szCs w:val="24"/>
        </w:rPr>
        <w:t xml:space="preserve"> are of immense significance in determining steroid responsiveness and long-term prognosis</w:t>
      </w:r>
      <w:r w:rsidR="00C665CE" w:rsidRPr="004B289C">
        <w:rPr>
          <w:rFonts w:asciiTheme="majorHAnsi" w:hAnsiTheme="majorHAnsi" w:cstheme="minorHAnsi"/>
          <w:sz w:val="24"/>
          <w:szCs w:val="24"/>
        </w:rPr>
        <w:t>.</w:t>
      </w:r>
      <w:r w:rsidR="008537F7" w:rsidRPr="004B289C">
        <w:rPr>
          <w:rFonts w:asciiTheme="majorHAnsi" w:hAnsiTheme="majorHAnsi" w:cstheme="minorHAnsi"/>
          <w:sz w:val="24"/>
          <w:szCs w:val="24"/>
          <w:vertAlign w:val="superscript"/>
        </w:rPr>
        <w:t>6</w:t>
      </w:r>
      <w:r w:rsidR="0067115B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527542" w:rsidRPr="004B289C">
        <w:rPr>
          <w:rFonts w:asciiTheme="majorHAnsi" w:hAnsiTheme="majorHAnsi" w:cstheme="minorHAnsi"/>
          <w:sz w:val="24"/>
          <w:szCs w:val="24"/>
        </w:rPr>
        <w:t xml:space="preserve">The majority of children with </w:t>
      </w:r>
      <w:r w:rsidR="00220A30" w:rsidRPr="004B289C">
        <w:rPr>
          <w:rFonts w:asciiTheme="majorHAnsi" w:hAnsiTheme="majorHAnsi" w:cstheme="minorHAnsi"/>
          <w:sz w:val="24"/>
          <w:szCs w:val="24"/>
        </w:rPr>
        <w:t xml:space="preserve">INS </w:t>
      </w:r>
      <w:r w:rsidR="00527542" w:rsidRPr="004B289C">
        <w:rPr>
          <w:rFonts w:asciiTheme="majorHAnsi" w:hAnsiTheme="majorHAnsi" w:cstheme="minorHAnsi"/>
          <w:sz w:val="24"/>
          <w:szCs w:val="24"/>
        </w:rPr>
        <w:t xml:space="preserve">have </w:t>
      </w:r>
      <w:r w:rsidR="00220A30" w:rsidRPr="004B289C">
        <w:rPr>
          <w:rFonts w:asciiTheme="majorHAnsi" w:hAnsiTheme="majorHAnsi" w:cstheme="minorHAnsi"/>
          <w:sz w:val="24"/>
          <w:szCs w:val="24"/>
        </w:rPr>
        <w:t>MCD</w:t>
      </w:r>
      <w:r w:rsidR="00527542" w:rsidRPr="004B289C">
        <w:rPr>
          <w:rFonts w:asciiTheme="majorHAnsi" w:hAnsiTheme="majorHAnsi" w:cstheme="minorHAnsi"/>
          <w:sz w:val="24"/>
          <w:szCs w:val="24"/>
        </w:rPr>
        <w:t xml:space="preserve"> which is </w:t>
      </w:r>
      <w:r w:rsidR="0083526D" w:rsidRPr="004B289C">
        <w:rPr>
          <w:rFonts w:asciiTheme="majorHAnsi" w:hAnsiTheme="majorHAnsi" w:cstheme="minorHAnsi"/>
          <w:sz w:val="24"/>
          <w:szCs w:val="24"/>
        </w:rPr>
        <w:t>generally responsive to steroid</w:t>
      </w:r>
      <w:r w:rsidR="00B03A45" w:rsidRPr="004B289C">
        <w:rPr>
          <w:rFonts w:asciiTheme="majorHAnsi" w:hAnsiTheme="majorHAnsi" w:cstheme="minorHAnsi"/>
          <w:sz w:val="24"/>
          <w:szCs w:val="24"/>
        </w:rPr>
        <w:t xml:space="preserve">, so </w:t>
      </w:r>
      <w:r w:rsidR="00527542" w:rsidRPr="004B289C">
        <w:rPr>
          <w:rFonts w:asciiTheme="majorHAnsi" w:hAnsiTheme="majorHAnsi" w:cstheme="minorHAnsi"/>
          <w:sz w:val="24"/>
          <w:szCs w:val="24"/>
        </w:rPr>
        <w:t xml:space="preserve">renal biopsy is indicated in patients suspected to have histological types other than </w:t>
      </w:r>
      <w:r w:rsidR="00B03A45" w:rsidRPr="004B289C">
        <w:rPr>
          <w:rFonts w:asciiTheme="majorHAnsi" w:hAnsiTheme="majorHAnsi" w:cstheme="minorHAnsi"/>
          <w:sz w:val="24"/>
          <w:szCs w:val="24"/>
        </w:rPr>
        <w:t>MCD</w:t>
      </w:r>
      <w:r w:rsidR="0083526D" w:rsidRPr="004B289C">
        <w:rPr>
          <w:rFonts w:asciiTheme="majorHAnsi" w:hAnsiTheme="majorHAnsi" w:cstheme="minorHAnsi"/>
          <w:sz w:val="24"/>
          <w:szCs w:val="24"/>
        </w:rPr>
        <w:t>.</w:t>
      </w:r>
      <w:r w:rsidR="0083526D" w:rsidRPr="004B289C">
        <w:rPr>
          <w:rFonts w:asciiTheme="majorHAnsi" w:hAnsiTheme="majorHAnsi" w:cstheme="minorHAnsi"/>
          <w:sz w:val="24"/>
          <w:szCs w:val="24"/>
          <w:vertAlign w:val="superscript"/>
        </w:rPr>
        <w:t>7</w:t>
      </w:r>
      <w:r w:rsidR="00527542" w:rsidRPr="004B289C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4A2076" w:rsidRPr="004B289C">
        <w:rPr>
          <w:rFonts w:asciiTheme="majorHAnsi" w:hAnsiTheme="majorHAnsi" w:cstheme="minorHAnsi"/>
          <w:sz w:val="24"/>
          <w:szCs w:val="24"/>
        </w:rPr>
        <w:t>Idiopathic nephrotic syndrome shows d</w:t>
      </w:r>
      <w:r w:rsidR="00C20A1A" w:rsidRPr="004B289C">
        <w:rPr>
          <w:rFonts w:asciiTheme="majorHAnsi" w:hAnsiTheme="majorHAnsi" w:cstheme="minorHAnsi"/>
          <w:sz w:val="24"/>
          <w:szCs w:val="24"/>
        </w:rPr>
        <w:t xml:space="preserve">ifferences in </w:t>
      </w:r>
      <w:r w:rsidR="004A2076" w:rsidRPr="004B289C">
        <w:rPr>
          <w:rFonts w:asciiTheme="majorHAnsi" w:hAnsiTheme="majorHAnsi" w:cstheme="minorHAnsi"/>
          <w:sz w:val="24"/>
          <w:szCs w:val="24"/>
        </w:rPr>
        <w:t>its</w:t>
      </w:r>
      <w:r w:rsidR="007C1B4F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9865EE" w:rsidRPr="004B289C">
        <w:rPr>
          <w:rFonts w:asciiTheme="majorHAnsi" w:hAnsiTheme="majorHAnsi" w:cstheme="minorHAnsi"/>
          <w:sz w:val="24"/>
          <w:szCs w:val="24"/>
        </w:rPr>
        <w:t xml:space="preserve">steroid response pattern and </w:t>
      </w:r>
      <w:r w:rsidR="007C1B4F" w:rsidRPr="004B289C">
        <w:rPr>
          <w:rFonts w:asciiTheme="majorHAnsi" w:hAnsiTheme="majorHAnsi" w:cstheme="minorHAnsi"/>
          <w:sz w:val="24"/>
          <w:szCs w:val="24"/>
        </w:rPr>
        <w:t xml:space="preserve">histopathological spectrum in the </w:t>
      </w:r>
      <w:r w:rsidR="004A2076" w:rsidRPr="004B289C">
        <w:rPr>
          <w:rFonts w:asciiTheme="majorHAnsi" w:hAnsiTheme="majorHAnsi" w:cstheme="minorHAnsi"/>
          <w:sz w:val="24"/>
          <w:szCs w:val="24"/>
        </w:rPr>
        <w:t>various</w:t>
      </w:r>
      <w:r w:rsidR="007C1B4F" w:rsidRPr="004B289C">
        <w:rPr>
          <w:rFonts w:asciiTheme="majorHAnsi" w:hAnsiTheme="majorHAnsi" w:cstheme="minorHAnsi"/>
          <w:sz w:val="24"/>
          <w:szCs w:val="24"/>
        </w:rPr>
        <w:t xml:space="preserve"> geographical regions.</w:t>
      </w:r>
      <w:r w:rsidR="00881EDD" w:rsidRPr="004B289C">
        <w:rPr>
          <w:rFonts w:asciiTheme="majorHAnsi" w:hAnsiTheme="majorHAnsi" w:cstheme="minorHAnsi"/>
          <w:sz w:val="24"/>
          <w:szCs w:val="24"/>
          <w:vertAlign w:val="superscript"/>
        </w:rPr>
        <w:t>8</w:t>
      </w:r>
      <w:r w:rsidR="00F50465" w:rsidRPr="004B289C">
        <w:rPr>
          <w:rFonts w:asciiTheme="majorHAnsi" w:hAnsiTheme="majorHAnsi" w:cstheme="minorHAnsi"/>
          <w:sz w:val="24"/>
          <w:szCs w:val="24"/>
          <w:vertAlign w:val="superscript"/>
        </w:rPr>
        <w:t>-</w:t>
      </w:r>
      <w:r w:rsidR="00881EDD" w:rsidRPr="004B289C">
        <w:rPr>
          <w:rFonts w:asciiTheme="majorHAnsi" w:hAnsiTheme="majorHAnsi" w:cstheme="minorHAnsi"/>
          <w:sz w:val="24"/>
          <w:szCs w:val="24"/>
          <w:vertAlign w:val="superscript"/>
        </w:rPr>
        <w:t>16</w:t>
      </w:r>
      <w:r w:rsidR="00674D4E" w:rsidRPr="004B289C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6B2DE7" w:rsidRPr="004B289C">
        <w:rPr>
          <w:rFonts w:asciiTheme="majorHAnsi" w:hAnsiTheme="majorHAnsi" w:cstheme="minorHAnsi"/>
          <w:sz w:val="24"/>
          <w:szCs w:val="24"/>
        </w:rPr>
        <w:t>Therefore,</w:t>
      </w:r>
      <w:r w:rsidR="009B6050" w:rsidRPr="004B289C">
        <w:rPr>
          <w:rFonts w:asciiTheme="majorHAnsi" w:hAnsiTheme="majorHAnsi" w:cstheme="minorHAnsi"/>
          <w:sz w:val="24"/>
          <w:szCs w:val="24"/>
        </w:rPr>
        <w:t xml:space="preserve"> this work </w:t>
      </w:r>
      <w:r w:rsidR="00F06CAB" w:rsidRPr="004B289C">
        <w:rPr>
          <w:rFonts w:asciiTheme="majorHAnsi" w:hAnsiTheme="majorHAnsi" w:cstheme="minorHAnsi"/>
          <w:sz w:val="24"/>
          <w:szCs w:val="24"/>
        </w:rPr>
        <w:t>was desig</w:t>
      </w:r>
      <w:r w:rsidR="00463F91" w:rsidRPr="004B289C">
        <w:rPr>
          <w:rFonts w:asciiTheme="majorHAnsi" w:hAnsiTheme="majorHAnsi" w:cstheme="minorHAnsi"/>
          <w:sz w:val="24"/>
          <w:szCs w:val="24"/>
        </w:rPr>
        <w:t>n</w:t>
      </w:r>
      <w:r w:rsidR="00F06CAB" w:rsidRPr="004B289C">
        <w:rPr>
          <w:rFonts w:asciiTheme="majorHAnsi" w:hAnsiTheme="majorHAnsi" w:cstheme="minorHAnsi"/>
          <w:sz w:val="24"/>
          <w:szCs w:val="24"/>
        </w:rPr>
        <w:t xml:space="preserve">ed to study the clinical profile, </w:t>
      </w:r>
      <w:r w:rsidR="000D553D" w:rsidRPr="004B289C">
        <w:rPr>
          <w:rFonts w:asciiTheme="majorHAnsi" w:hAnsiTheme="majorHAnsi" w:cstheme="minorHAnsi"/>
          <w:sz w:val="24"/>
          <w:szCs w:val="24"/>
        </w:rPr>
        <w:t xml:space="preserve">steroid response pattern and the underlying </w:t>
      </w:r>
      <w:r w:rsidR="003940B8" w:rsidRPr="004B289C">
        <w:rPr>
          <w:rFonts w:asciiTheme="majorHAnsi" w:hAnsiTheme="majorHAnsi" w:cstheme="minorHAnsi"/>
          <w:sz w:val="24"/>
          <w:szCs w:val="24"/>
        </w:rPr>
        <w:t xml:space="preserve">histopathological </w:t>
      </w:r>
      <w:r w:rsidR="000D553D" w:rsidRPr="004B289C">
        <w:rPr>
          <w:rFonts w:asciiTheme="majorHAnsi" w:hAnsiTheme="majorHAnsi" w:cstheme="minorHAnsi"/>
          <w:sz w:val="24"/>
          <w:szCs w:val="24"/>
        </w:rPr>
        <w:t>spectrum</w:t>
      </w:r>
      <w:r w:rsidR="00F06CAB" w:rsidRPr="004B289C">
        <w:rPr>
          <w:rFonts w:asciiTheme="majorHAnsi" w:hAnsiTheme="majorHAnsi" w:cstheme="minorHAnsi"/>
          <w:sz w:val="24"/>
          <w:szCs w:val="24"/>
        </w:rPr>
        <w:t xml:space="preserve"> in children with </w:t>
      </w:r>
      <w:r w:rsidR="00DA0407" w:rsidRPr="004B289C">
        <w:rPr>
          <w:rFonts w:asciiTheme="majorHAnsi" w:hAnsiTheme="majorHAnsi" w:cstheme="minorHAnsi"/>
          <w:sz w:val="24"/>
          <w:szCs w:val="24"/>
        </w:rPr>
        <w:t>INS</w:t>
      </w:r>
      <w:r w:rsidR="00F06CAB" w:rsidRPr="004B289C">
        <w:rPr>
          <w:rFonts w:asciiTheme="majorHAnsi" w:hAnsiTheme="majorHAnsi" w:cstheme="minorHAnsi"/>
          <w:sz w:val="24"/>
          <w:szCs w:val="24"/>
        </w:rPr>
        <w:t xml:space="preserve"> </w:t>
      </w:r>
      <w:r w:rsidR="007A5CD9" w:rsidRPr="004B289C">
        <w:rPr>
          <w:rFonts w:asciiTheme="majorHAnsi" w:hAnsiTheme="majorHAnsi" w:cstheme="minorHAnsi"/>
          <w:sz w:val="24"/>
          <w:szCs w:val="24"/>
        </w:rPr>
        <w:t>at</w:t>
      </w:r>
      <w:r w:rsidR="00F06CAB" w:rsidRPr="004B289C">
        <w:rPr>
          <w:rFonts w:asciiTheme="majorHAnsi" w:hAnsiTheme="majorHAnsi" w:cstheme="minorHAnsi"/>
          <w:sz w:val="24"/>
          <w:szCs w:val="24"/>
        </w:rPr>
        <w:t xml:space="preserve"> our locality in Upper Egypt. </w:t>
      </w:r>
      <w:r w:rsidR="003A6D22" w:rsidRPr="004B289C">
        <w:rPr>
          <w:rFonts w:asciiTheme="majorHAnsi" w:hAnsiTheme="majorHAnsi" w:cstheme="minorHAnsi"/>
          <w:sz w:val="24"/>
          <w:szCs w:val="24"/>
        </w:rPr>
        <w:t>Sohag City is about 500 Km South to Cairo city and Sohag University Hospital is a referral hospital serves patients from all Upper Egypt Governorates.</w:t>
      </w:r>
    </w:p>
    <w:p w:rsidR="009F698B" w:rsidRPr="00B36440" w:rsidRDefault="009F698B" w:rsidP="00481C1D">
      <w:pPr>
        <w:bidi w:val="0"/>
        <w:spacing w:before="240" w:after="80" w:line="240" w:lineRule="auto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B36440">
        <w:rPr>
          <w:rFonts w:asciiTheme="majorHAnsi" w:hAnsiTheme="majorHAnsi" w:cstheme="minorHAnsi"/>
          <w:b/>
          <w:bCs/>
          <w:sz w:val="28"/>
          <w:szCs w:val="28"/>
        </w:rPr>
        <w:t>Patients and methods</w:t>
      </w:r>
    </w:p>
    <w:p w:rsidR="00E72DD8" w:rsidRPr="00B36440" w:rsidRDefault="00950768" w:rsidP="003A6D22">
      <w:pPr>
        <w:autoSpaceDE w:val="0"/>
        <w:autoSpaceDN w:val="0"/>
        <w:bidi w:val="0"/>
        <w:adjustRightInd w:val="0"/>
        <w:spacing w:before="8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B36440">
        <w:rPr>
          <w:rFonts w:asciiTheme="majorHAnsi" w:hAnsiTheme="majorHAnsi" w:cstheme="minorHAnsi"/>
          <w:sz w:val="24"/>
          <w:szCs w:val="24"/>
        </w:rPr>
        <w:t>T</w:t>
      </w:r>
      <w:r w:rsidR="00080BB1" w:rsidRPr="00B36440">
        <w:rPr>
          <w:rFonts w:asciiTheme="majorHAnsi" w:hAnsiTheme="majorHAnsi" w:cstheme="minorHAnsi"/>
          <w:sz w:val="24"/>
          <w:szCs w:val="24"/>
        </w:rPr>
        <w:t xml:space="preserve">his </w:t>
      </w:r>
      <w:r w:rsidR="00895281" w:rsidRPr="00B36440">
        <w:rPr>
          <w:rFonts w:asciiTheme="majorHAnsi" w:hAnsiTheme="majorHAnsi" w:cstheme="minorHAnsi"/>
          <w:sz w:val="24"/>
          <w:szCs w:val="24"/>
        </w:rPr>
        <w:t xml:space="preserve">prospective </w:t>
      </w:r>
      <w:r w:rsidR="00FB5367" w:rsidRPr="00B36440">
        <w:rPr>
          <w:rFonts w:asciiTheme="majorHAnsi" w:hAnsiTheme="majorHAnsi" w:cstheme="minorHAnsi"/>
          <w:sz w:val="24"/>
          <w:szCs w:val="24"/>
        </w:rPr>
        <w:t>study</w:t>
      </w:r>
      <w:r w:rsidR="00080BB1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Pr="00B36440">
        <w:rPr>
          <w:rFonts w:asciiTheme="majorHAnsi" w:hAnsiTheme="majorHAnsi" w:cstheme="minorHAnsi"/>
          <w:sz w:val="24"/>
          <w:szCs w:val="24"/>
        </w:rPr>
        <w:t>involved 77 patients</w:t>
      </w:r>
      <w:r w:rsidR="00C121B9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7F7DAE" w:rsidRPr="00B36440">
        <w:rPr>
          <w:rFonts w:asciiTheme="majorHAnsi" w:hAnsiTheme="majorHAnsi" w:cstheme="minorHAnsi"/>
          <w:sz w:val="24"/>
          <w:szCs w:val="24"/>
        </w:rPr>
        <w:t xml:space="preserve">with </w:t>
      </w:r>
      <w:r w:rsidRPr="00B36440">
        <w:rPr>
          <w:rFonts w:asciiTheme="majorHAnsi" w:hAnsiTheme="majorHAnsi" w:cstheme="minorHAnsi"/>
          <w:sz w:val="24"/>
          <w:szCs w:val="24"/>
        </w:rPr>
        <w:t xml:space="preserve">new onset </w:t>
      </w:r>
      <w:r w:rsidR="007F7DAE" w:rsidRPr="00B36440">
        <w:rPr>
          <w:rFonts w:asciiTheme="majorHAnsi" w:hAnsiTheme="majorHAnsi" w:cstheme="minorHAnsi"/>
          <w:sz w:val="24"/>
          <w:szCs w:val="24"/>
        </w:rPr>
        <w:t xml:space="preserve">INS </w:t>
      </w:r>
      <w:r w:rsidR="00C121B9" w:rsidRPr="00B36440">
        <w:rPr>
          <w:rFonts w:asciiTheme="majorHAnsi" w:hAnsiTheme="majorHAnsi" w:cstheme="minorHAnsi"/>
          <w:sz w:val="24"/>
          <w:szCs w:val="24"/>
        </w:rPr>
        <w:t xml:space="preserve">aged </w:t>
      </w:r>
      <w:r w:rsidR="007F7DAE" w:rsidRPr="00B36440">
        <w:rPr>
          <w:rFonts w:asciiTheme="majorHAnsi" w:hAnsiTheme="majorHAnsi" w:cstheme="minorHAnsi"/>
          <w:sz w:val="24"/>
          <w:szCs w:val="24"/>
        </w:rPr>
        <w:t>1-</w:t>
      </w:r>
      <w:r w:rsidR="00C121B9" w:rsidRPr="00B36440">
        <w:rPr>
          <w:rFonts w:asciiTheme="majorHAnsi" w:hAnsiTheme="majorHAnsi" w:cstheme="minorHAnsi"/>
          <w:sz w:val="24"/>
          <w:szCs w:val="24"/>
        </w:rPr>
        <w:t>15</w:t>
      </w:r>
      <w:r w:rsidR="00895281" w:rsidRPr="00B36440">
        <w:rPr>
          <w:rFonts w:asciiTheme="majorHAnsi" w:hAnsiTheme="majorHAnsi" w:cstheme="minorHAnsi"/>
          <w:sz w:val="24"/>
          <w:szCs w:val="24"/>
        </w:rPr>
        <w:t xml:space="preserve"> years</w:t>
      </w:r>
      <w:r w:rsidR="00C121B9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7F7DAE" w:rsidRPr="00B36440">
        <w:rPr>
          <w:rFonts w:asciiTheme="majorHAnsi" w:hAnsiTheme="majorHAnsi" w:cstheme="minorHAnsi"/>
          <w:sz w:val="24"/>
          <w:szCs w:val="24"/>
        </w:rPr>
        <w:t xml:space="preserve">diagnosed </w:t>
      </w:r>
      <w:r w:rsidR="00C12842">
        <w:rPr>
          <w:rFonts w:asciiTheme="majorHAnsi" w:hAnsiTheme="majorHAnsi" w:cstheme="minorHAnsi"/>
          <w:sz w:val="24"/>
          <w:szCs w:val="24"/>
        </w:rPr>
        <w:t xml:space="preserve">and followed in our paediatric </w:t>
      </w:r>
      <w:r w:rsidR="00C121B9" w:rsidRPr="00B36440">
        <w:rPr>
          <w:rFonts w:asciiTheme="majorHAnsi" w:hAnsiTheme="majorHAnsi" w:cstheme="minorHAnsi"/>
          <w:sz w:val="24"/>
          <w:szCs w:val="24"/>
        </w:rPr>
        <w:t>nephrology unit, Sohag University Hospital</w:t>
      </w:r>
      <w:r w:rsidR="00B87F17" w:rsidRPr="00B36440">
        <w:rPr>
          <w:rFonts w:asciiTheme="majorHAnsi" w:hAnsiTheme="majorHAnsi" w:cstheme="minorHAnsi"/>
          <w:sz w:val="24"/>
          <w:szCs w:val="24"/>
        </w:rPr>
        <w:t xml:space="preserve"> in the period</w:t>
      </w:r>
      <w:r w:rsidR="007D57E2" w:rsidRPr="00B36440">
        <w:rPr>
          <w:rFonts w:asciiTheme="majorHAnsi" w:hAnsiTheme="majorHAnsi" w:cstheme="minorHAnsi"/>
          <w:sz w:val="24"/>
          <w:szCs w:val="24"/>
        </w:rPr>
        <w:t xml:space="preserve"> from </w:t>
      </w:r>
      <w:r w:rsidR="007F7DAE" w:rsidRPr="00B36440">
        <w:rPr>
          <w:rFonts w:asciiTheme="majorHAnsi" w:hAnsiTheme="majorHAnsi" w:cstheme="minorHAnsi"/>
          <w:sz w:val="24"/>
          <w:szCs w:val="24"/>
        </w:rPr>
        <w:t xml:space="preserve">Jan </w:t>
      </w:r>
      <w:r w:rsidR="00B87F17" w:rsidRPr="00B36440">
        <w:rPr>
          <w:rFonts w:asciiTheme="majorHAnsi" w:hAnsiTheme="majorHAnsi" w:cstheme="minorHAnsi"/>
          <w:sz w:val="24"/>
          <w:szCs w:val="24"/>
        </w:rPr>
        <w:t>20</w:t>
      </w:r>
      <w:r w:rsidR="007F7DAE" w:rsidRPr="00B36440">
        <w:rPr>
          <w:rFonts w:asciiTheme="majorHAnsi" w:hAnsiTheme="majorHAnsi" w:cstheme="minorHAnsi"/>
          <w:sz w:val="24"/>
          <w:szCs w:val="24"/>
        </w:rPr>
        <w:t>1</w:t>
      </w:r>
      <w:r w:rsidR="00B87F17" w:rsidRPr="00B36440">
        <w:rPr>
          <w:rFonts w:asciiTheme="majorHAnsi" w:hAnsiTheme="majorHAnsi" w:cstheme="minorHAnsi"/>
          <w:sz w:val="24"/>
          <w:szCs w:val="24"/>
        </w:rPr>
        <w:t>0</w:t>
      </w:r>
      <w:r w:rsidR="007D57E2" w:rsidRPr="00B36440">
        <w:rPr>
          <w:rFonts w:asciiTheme="majorHAnsi" w:hAnsiTheme="majorHAnsi" w:cstheme="minorHAnsi"/>
          <w:sz w:val="24"/>
          <w:szCs w:val="24"/>
        </w:rPr>
        <w:t xml:space="preserve"> to </w:t>
      </w:r>
      <w:r w:rsidR="007F7DAE" w:rsidRPr="00B36440">
        <w:rPr>
          <w:rFonts w:asciiTheme="majorHAnsi" w:hAnsiTheme="majorHAnsi" w:cstheme="minorHAnsi"/>
          <w:sz w:val="24"/>
          <w:szCs w:val="24"/>
        </w:rPr>
        <w:t xml:space="preserve">Dec </w:t>
      </w:r>
      <w:r w:rsidR="00B87F17" w:rsidRPr="00B36440">
        <w:rPr>
          <w:rFonts w:asciiTheme="majorHAnsi" w:hAnsiTheme="majorHAnsi" w:cstheme="minorHAnsi"/>
          <w:sz w:val="24"/>
          <w:szCs w:val="24"/>
        </w:rPr>
        <w:t>201</w:t>
      </w:r>
      <w:r w:rsidR="007D57E2" w:rsidRPr="00B36440">
        <w:rPr>
          <w:rFonts w:asciiTheme="majorHAnsi" w:hAnsiTheme="majorHAnsi" w:cstheme="minorHAnsi"/>
          <w:sz w:val="24"/>
          <w:szCs w:val="24"/>
        </w:rPr>
        <w:t>4</w:t>
      </w:r>
      <w:r w:rsidRPr="00B36440">
        <w:rPr>
          <w:rFonts w:asciiTheme="majorHAnsi" w:hAnsiTheme="majorHAnsi" w:cstheme="minorHAnsi"/>
          <w:sz w:val="24"/>
          <w:szCs w:val="24"/>
        </w:rPr>
        <w:t xml:space="preserve">. </w:t>
      </w:r>
      <w:r w:rsidR="00B44C4E" w:rsidRPr="00B36440">
        <w:rPr>
          <w:rFonts w:asciiTheme="majorHAnsi" w:hAnsiTheme="majorHAnsi" w:cstheme="minorHAnsi"/>
          <w:sz w:val="24"/>
          <w:szCs w:val="24"/>
        </w:rPr>
        <w:t xml:space="preserve">Patients with </w:t>
      </w:r>
      <w:r w:rsidR="00CE1CFB" w:rsidRPr="00B36440">
        <w:rPr>
          <w:rFonts w:asciiTheme="majorHAnsi" w:hAnsiTheme="majorHAnsi" w:cstheme="minorHAnsi"/>
          <w:sz w:val="24"/>
          <w:szCs w:val="24"/>
        </w:rPr>
        <w:t xml:space="preserve">less than one year follow up period or with incomplete data were excluded. </w:t>
      </w:r>
      <w:r w:rsidR="003C6E18" w:rsidRPr="00B36440">
        <w:rPr>
          <w:rFonts w:asciiTheme="majorHAnsi" w:hAnsiTheme="majorHAnsi" w:cstheme="minorHAnsi"/>
          <w:sz w:val="24"/>
          <w:szCs w:val="24"/>
        </w:rPr>
        <w:t>Idiopathic nephrotic syndrome</w:t>
      </w:r>
      <w:r w:rsidR="00EE266C" w:rsidRPr="00B36440">
        <w:rPr>
          <w:rFonts w:asciiTheme="majorHAnsi" w:hAnsiTheme="majorHAnsi" w:cstheme="minorHAnsi"/>
          <w:sz w:val="24"/>
          <w:szCs w:val="24"/>
        </w:rPr>
        <w:t xml:space="preserve"> was diagnosed </w:t>
      </w:r>
      <w:r w:rsidR="00A176F3" w:rsidRPr="00B36440">
        <w:rPr>
          <w:rFonts w:asciiTheme="majorHAnsi" w:hAnsiTheme="majorHAnsi" w:cstheme="minorHAnsi"/>
          <w:sz w:val="24"/>
          <w:szCs w:val="24"/>
        </w:rPr>
        <w:t xml:space="preserve">depending on the </w:t>
      </w:r>
      <w:r w:rsidR="00EE266C" w:rsidRPr="00B36440">
        <w:rPr>
          <w:rFonts w:asciiTheme="majorHAnsi" w:hAnsiTheme="majorHAnsi" w:cstheme="minorHAnsi"/>
          <w:sz w:val="24"/>
          <w:szCs w:val="24"/>
        </w:rPr>
        <w:t>presence</w:t>
      </w:r>
      <w:r w:rsidR="003E52F7" w:rsidRPr="00B36440">
        <w:rPr>
          <w:rFonts w:asciiTheme="majorHAnsi" w:hAnsiTheme="majorHAnsi" w:cstheme="minorHAnsi"/>
          <w:sz w:val="24"/>
          <w:szCs w:val="24"/>
        </w:rPr>
        <w:t xml:space="preserve"> of</w:t>
      </w:r>
      <w:r w:rsidR="00EE266C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CC71D5" w:rsidRPr="00B36440">
        <w:rPr>
          <w:rFonts w:asciiTheme="majorHAnsi" w:hAnsiTheme="majorHAnsi" w:cstheme="minorHAnsi"/>
          <w:sz w:val="24"/>
          <w:szCs w:val="24"/>
        </w:rPr>
        <w:t xml:space="preserve">nephrotic range </w:t>
      </w:r>
      <w:r w:rsidR="00EE266C" w:rsidRPr="00B36440">
        <w:rPr>
          <w:rFonts w:asciiTheme="majorHAnsi" w:hAnsiTheme="majorHAnsi" w:cstheme="minorHAnsi"/>
          <w:sz w:val="24"/>
          <w:szCs w:val="24"/>
        </w:rPr>
        <w:t>proteinuria &gt;40 mg/h/m</w:t>
      </w:r>
      <w:r w:rsidR="00EE266C" w:rsidRPr="00B3644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="00EE266C" w:rsidRPr="00B36440">
        <w:rPr>
          <w:rFonts w:asciiTheme="majorHAnsi" w:hAnsiTheme="majorHAnsi" w:cstheme="minorHAnsi"/>
          <w:sz w:val="24"/>
          <w:szCs w:val="24"/>
        </w:rPr>
        <w:t xml:space="preserve"> or protein/creatinine ratio</w:t>
      </w:r>
      <w:r w:rsidR="00F21B12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1E432D" w:rsidRPr="00B36440">
        <w:rPr>
          <w:rFonts w:asciiTheme="majorHAnsi" w:hAnsiTheme="majorHAnsi" w:cstheme="minorHAnsi"/>
          <w:sz w:val="24"/>
          <w:szCs w:val="24"/>
        </w:rPr>
        <w:t>(uPCR)</w:t>
      </w:r>
      <w:r w:rsidR="00F21B12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EE266C" w:rsidRPr="00B36440">
        <w:rPr>
          <w:rFonts w:asciiTheme="majorHAnsi" w:hAnsiTheme="majorHAnsi" w:cstheme="minorHAnsi"/>
          <w:sz w:val="24"/>
          <w:szCs w:val="24"/>
        </w:rPr>
        <w:t>&gt;2 g/g and hypoalbuminemia &lt;25 g/l with or without edema in the absence of systemic or extrarenal disorders</w:t>
      </w:r>
      <w:r w:rsidR="00A17D08" w:rsidRPr="00B36440">
        <w:rPr>
          <w:rFonts w:asciiTheme="majorHAnsi" w:hAnsiTheme="majorHAnsi" w:cstheme="minorHAnsi"/>
          <w:sz w:val="24"/>
          <w:szCs w:val="24"/>
        </w:rPr>
        <w:t>.</w:t>
      </w:r>
      <w:r w:rsidR="00EC7726" w:rsidRPr="00B36440">
        <w:rPr>
          <w:rFonts w:asciiTheme="majorHAnsi" w:hAnsiTheme="majorHAnsi" w:cstheme="minorHAnsi"/>
          <w:sz w:val="24"/>
          <w:szCs w:val="24"/>
          <w:vertAlign w:val="superscript"/>
        </w:rPr>
        <w:t>17</w:t>
      </w:r>
      <w:r w:rsidR="00970D7B" w:rsidRPr="00B36440">
        <w:rPr>
          <w:rFonts w:asciiTheme="majorHAnsi" w:hAnsiTheme="majorHAnsi" w:cstheme="minorHAnsi"/>
          <w:sz w:val="24"/>
          <w:szCs w:val="24"/>
          <w:vertAlign w:val="superscript"/>
        </w:rPr>
        <w:t>,</w:t>
      </w:r>
      <w:r w:rsidR="00EC7726" w:rsidRPr="00B36440">
        <w:rPr>
          <w:rFonts w:asciiTheme="majorHAnsi" w:hAnsiTheme="majorHAnsi" w:cstheme="minorHAnsi"/>
          <w:sz w:val="24"/>
          <w:szCs w:val="24"/>
          <w:vertAlign w:val="superscript"/>
        </w:rPr>
        <w:t>18</w:t>
      </w:r>
      <w:r w:rsidR="00EE266C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F40332" w:rsidRPr="00B36440">
        <w:rPr>
          <w:rFonts w:asciiTheme="majorHAnsi" w:hAnsiTheme="majorHAnsi" w:cstheme="minorHAnsi"/>
          <w:sz w:val="24"/>
          <w:szCs w:val="24"/>
        </w:rPr>
        <w:t>In addition to full medical history and detailed physical examination, the following investigations were done</w:t>
      </w:r>
      <w:r w:rsidR="00FA786D" w:rsidRPr="00B36440">
        <w:rPr>
          <w:rFonts w:asciiTheme="majorHAnsi" w:hAnsiTheme="majorHAnsi" w:cstheme="minorHAnsi"/>
          <w:sz w:val="24"/>
          <w:szCs w:val="24"/>
        </w:rPr>
        <w:t xml:space="preserve"> for all patients at presentation</w:t>
      </w:r>
      <w:r w:rsidR="00F40332" w:rsidRPr="00B36440">
        <w:rPr>
          <w:rFonts w:asciiTheme="majorHAnsi" w:hAnsiTheme="majorHAnsi" w:cstheme="minorHAnsi"/>
          <w:sz w:val="24"/>
          <w:szCs w:val="24"/>
        </w:rPr>
        <w:t>: u</w:t>
      </w:r>
      <w:r w:rsidR="005936AF" w:rsidRPr="00B36440">
        <w:rPr>
          <w:rFonts w:asciiTheme="majorHAnsi" w:hAnsiTheme="majorHAnsi" w:cstheme="minorHAnsi"/>
          <w:sz w:val="24"/>
          <w:szCs w:val="24"/>
        </w:rPr>
        <w:t>rine analy</w:t>
      </w:r>
      <w:r w:rsidR="008B3BEB" w:rsidRPr="00B36440">
        <w:rPr>
          <w:rFonts w:asciiTheme="majorHAnsi" w:hAnsiTheme="majorHAnsi" w:cstheme="minorHAnsi"/>
          <w:sz w:val="24"/>
          <w:szCs w:val="24"/>
        </w:rPr>
        <w:t>sis by dipsticks and microscopy</w:t>
      </w:r>
      <w:r w:rsidR="004B5B06" w:rsidRPr="00B36440">
        <w:rPr>
          <w:rFonts w:asciiTheme="majorHAnsi" w:hAnsiTheme="majorHAnsi" w:cstheme="minorHAnsi"/>
          <w:sz w:val="24"/>
          <w:szCs w:val="24"/>
        </w:rPr>
        <w:t>, u</w:t>
      </w:r>
      <w:r w:rsidR="005936AF" w:rsidRPr="00B36440">
        <w:rPr>
          <w:rFonts w:asciiTheme="majorHAnsi" w:hAnsiTheme="majorHAnsi" w:cstheme="minorHAnsi"/>
          <w:sz w:val="24"/>
          <w:szCs w:val="24"/>
        </w:rPr>
        <w:t>rine 24-h</w:t>
      </w:r>
      <w:r w:rsidR="004B5B06" w:rsidRPr="00B36440">
        <w:rPr>
          <w:rFonts w:asciiTheme="majorHAnsi" w:hAnsiTheme="majorHAnsi" w:cstheme="minorHAnsi"/>
          <w:sz w:val="24"/>
          <w:szCs w:val="24"/>
        </w:rPr>
        <w:t xml:space="preserve">ours proteins </w:t>
      </w:r>
      <w:r w:rsidR="00FA786D" w:rsidRPr="00B36440">
        <w:rPr>
          <w:rFonts w:asciiTheme="majorHAnsi" w:hAnsiTheme="majorHAnsi" w:cstheme="minorHAnsi"/>
          <w:sz w:val="24"/>
          <w:szCs w:val="24"/>
        </w:rPr>
        <w:t>or</w:t>
      </w:r>
      <w:r w:rsidR="004B5B06" w:rsidRPr="00B36440">
        <w:rPr>
          <w:rFonts w:asciiTheme="majorHAnsi" w:hAnsiTheme="majorHAnsi" w:cstheme="minorHAnsi"/>
          <w:sz w:val="24"/>
          <w:szCs w:val="24"/>
        </w:rPr>
        <w:t xml:space="preserve"> f</w:t>
      </w:r>
      <w:r w:rsidR="005936AF" w:rsidRPr="00B36440">
        <w:rPr>
          <w:rFonts w:asciiTheme="majorHAnsi" w:hAnsiTheme="majorHAnsi" w:cstheme="minorHAnsi"/>
          <w:sz w:val="24"/>
          <w:szCs w:val="24"/>
        </w:rPr>
        <w:t xml:space="preserve">irst morning </w:t>
      </w:r>
      <w:r w:rsidR="00FA786D" w:rsidRPr="00B36440">
        <w:rPr>
          <w:rFonts w:asciiTheme="majorHAnsi" w:hAnsiTheme="majorHAnsi" w:cstheme="minorHAnsi"/>
          <w:sz w:val="24"/>
          <w:szCs w:val="24"/>
        </w:rPr>
        <w:t>uPCR</w:t>
      </w:r>
      <w:r w:rsidR="004B5B06" w:rsidRPr="00B36440">
        <w:rPr>
          <w:rFonts w:asciiTheme="majorHAnsi" w:hAnsiTheme="majorHAnsi" w:cstheme="minorHAnsi"/>
          <w:sz w:val="24"/>
          <w:szCs w:val="24"/>
        </w:rPr>
        <w:t>, s</w:t>
      </w:r>
      <w:r w:rsidR="005936AF" w:rsidRPr="00B36440">
        <w:rPr>
          <w:rFonts w:asciiTheme="majorHAnsi" w:hAnsiTheme="majorHAnsi" w:cstheme="minorHAnsi"/>
          <w:sz w:val="24"/>
          <w:szCs w:val="24"/>
        </w:rPr>
        <w:t>erum total protein and albumin</w:t>
      </w:r>
      <w:r w:rsidR="004B5B06" w:rsidRPr="00B36440">
        <w:rPr>
          <w:rFonts w:asciiTheme="majorHAnsi" w:hAnsiTheme="majorHAnsi" w:cstheme="minorHAnsi"/>
          <w:sz w:val="24"/>
          <w:szCs w:val="24"/>
        </w:rPr>
        <w:t>, b</w:t>
      </w:r>
      <w:r w:rsidR="005936AF" w:rsidRPr="00B36440">
        <w:rPr>
          <w:rFonts w:asciiTheme="majorHAnsi" w:hAnsiTheme="majorHAnsi" w:cstheme="minorHAnsi"/>
          <w:sz w:val="24"/>
          <w:szCs w:val="24"/>
        </w:rPr>
        <w:t>lood urea nitrogen</w:t>
      </w:r>
      <w:r w:rsidR="00970D7B" w:rsidRPr="00B36440">
        <w:rPr>
          <w:rFonts w:asciiTheme="majorHAnsi" w:hAnsiTheme="majorHAnsi" w:cstheme="minorHAnsi"/>
          <w:sz w:val="24"/>
          <w:szCs w:val="24"/>
        </w:rPr>
        <w:t xml:space="preserve">, </w:t>
      </w:r>
      <w:r w:rsidR="005936AF" w:rsidRPr="00B36440">
        <w:rPr>
          <w:rFonts w:asciiTheme="majorHAnsi" w:hAnsiTheme="majorHAnsi" w:cstheme="minorHAnsi"/>
          <w:sz w:val="24"/>
          <w:szCs w:val="24"/>
        </w:rPr>
        <w:t>serum creatinine</w:t>
      </w:r>
      <w:r w:rsidR="004B5B06" w:rsidRPr="00B36440">
        <w:rPr>
          <w:rFonts w:asciiTheme="majorHAnsi" w:hAnsiTheme="majorHAnsi" w:cstheme="minorHAnsi"/>
          <w:sz w:val="24"/>
          <w:szCs w:val="24"/>
        </w:rPr>
        <w:t>, t</w:t>
      </w:r>
      <w:r w:rsidR="005936AF" w:rsidRPr="00B36440">
        <w:rPr>
          <w:rFonts w:asciiTheme="majorHAnsi" w:hAnsiTheme="majorHAnsi" w:cstheme="minorHAnsi"/>
          <w:sz w:val="24"/>
          <w:szCs w:val="24"/>
        </w:rPr>
        <w:t>otal serum cholesterol and triglyceride</w:t>
      </w:r>
      <w:r w:rsidR="004B5B06" w:rsidRPr="00B36440">
        <w:rPr>
          <w:rFonts w:asciiTheme="majorHAnsi" w:hAnsiTheme="majorHAnsi" w:cstheme="minorHAnsi"/>
          <w:sz w:val="24"/>
          <w:szCs w:val="24"/>
        </w:rPr>
        <w:t>, f</w:t>
      </w:r>
      <w:r w:rsidR="005936AF" w:rsidRPr="00B36440">
        <w:rPr>
          <w:rFonts w:asciiTheme="majorHAnsi" w:hAnsiTheme="majorHAnsi" w:cstheme="minorHAnsi"/>
          <w:sz w:val="24"/>
          <w:szCs w:val="24"/>
        </w:rPr>
        <w:t>ull blood count</w:t>
      </w:r>
      <w:r w:rsidR="004B5B06" w:rsidRPr="00B36440">
        <w:rPr>
          <w:rFonts w:asciiTheme="majorHAnsi" w:hAnsiTheme="majorHAnsi" w:cstheme="minorHAnsi"/>
          <w:sz w:val="24"/>
          <w:szCs w:val="24"/>
        </w:rPr>
        <w:t>, s</w:t>
      </w:r>
      <w:r w:rsidR="005936AF" w:rsidRPr="00B36440">
        <w:rPr>
          <w:rFonts w:asciiTheme="majorHAnsi" w:hAnsiTheme="majorHAnsi" w:cstheme="minorHAnsi"/>
          <w:sz w:val="24"/>
          <w:szCs w:val="24"/>
        </w:rPr>
        <w:t>erum electrolytes</w:t>
      </w:r>
      <w:r w:rsidR="004B5B06" w:rsidRPr="00B36440">
        <w:rPr>
          <w:rFonts w:asciiTheme="majorHAnsi" w:hAnsiTheme="majorHAnsi" w:cstheme="minorHAnsi"/>
          <w:sz w:val="24"/>
          <w:szCs w:val="24"/>
        </w:rPr>
        <w:t xml:space="preserve">, </w:t>
      </w:r>
      <w:r w:rsidR="007F4980" w:rsidRPr="00B36440">
        <w:rPr>
          <w:rFonts w:asciiTheme="majorHAnsi" w:hAnsiTheme="majorHAnsi" w:cstheme="minorHAnsi"/>
          <w:sz w:val="24"/>
          <w:szCs w:val="24"/>
        </w:rPr>
        <w:t>Complement 3 (</w:t>
      </w:r>
      <w:r w:rsidR="004B05D0" w:rsidRPr="00B36440">
        <w:rPr>
          <w:rFonts w:asciiTheme="majorHAnsi" w:hAnsiTheme="majorHAnsi" w:cstheme="minorHAnsi"/>
          <w:sz w:val="24"/>
          <w:szCs w:val="24"/>
        </w:rPr>
        <w:t>C</w:t>
      </w:r>
      <w:r w:rsidR="004B5B06" w:rsidRPr="00B36440">
        <w:rPr>
          <w:rFonts w:asciiTheme="majorHAnsi" w:hAnsiTheme="majorHAnsi" w:cstheme="minorHAnsi"/>
          <w:sz w:val="24"/>
          <w:szCs w:val="24"/>
        </w:rPr>
        <w:t>3</w:t>
      </w:r>
      <w:r w:rsidR="007F4980" w:rsidRPr="00B36440">
        <w:rPr>
          <w:rFonts w:asciiTheme="majorHAnsi" w:hAnsiTheme="majorHAnsi" w:cstheme="minorHAnsi"/>
          <w:sz w:val="24"/>
          <w:szCs w:val="24"/>
        </w:rPr>
        <w:t>)</w:t>
      </w:r>
      <w:r w:rsidR="004B5B06" w:rsidRPr="00B36440">
        <w:rPr>
          <w:rFonts w:asciiTheme="majorHAnsi" w:hAnsiTheme="majorHAnsi" w:cstheme="minorHAnsi"/>
          <w:sz w:val="24"/>
          <w:szCs w:val="24"/>
        </w:rPr>
        <w:t xml:space="preserve"> and a</w:t>
      </w:r>
      <w:r w:rsidR="005936AF" w:rsidRPr="00B36440">
        <w:rPr>
          <w:rFonts w:asciiTheme="majorHAnsi" w:hAnsiTheme="majorHAnsi" w:cstheme="minorHAnsi"/>
          <w:sz w:val="24"/>
          <w:szCs w:val="24"/>
        </w:rPr>
        <w:t>bdominal sonography</w:t>
      </w:r>
      <w:r w:rsidR="00FA786D" w:rsidRPr="00B36440">
        <w:rPr>
          <w:rFonts w:asciiTheme="majorHAnsi" w:hAnsiTheme="majorHAnsi" w:cstheme="minorHAnsi"/>
          <w:sz w:val="24"/>
          <w:szCs w:val="24"/>
        </w:rPr>
        <w:t>.</w:t>
      </w:r>
      <w:r w:rsidR="004B5B06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5936AF" w:rsidRPr="00B36440">
        <w:rPr>
          <w:rFonts w:asciiTheme="majorHAnsi" w:hAnsiTheme="majorHAnsi" w:cstheme="minorHAnsi"/>
          <w:sz w:val="24"/>
          <w:szCs w:val="24"/>
        </w:rPr>
        <w:t xml:space="preserve">Antinuclear antibodies (ANA) </w:t>
      </w:r>
      <w:r w:rsidR="00DF2527" w:rsidRPr="00B36440">
        <w:rPr>
          <w:rFonts w:asciiTheme="majorHAnsi" w:hAnsiTheme="majorHAnsi" w:cstheme="minorHAnsi"/>
          <w:sz w:val="24"/>
          <w:szCs w:val="24"/>
        </w:rPr>
        <w:t xml:space="preserve">test was done </w:t>
      </w:r>
      <w:r w:rsidR="005936AF" w:rsidRPr="00B36440">
        <w:rPr>
          <w:rFonts w:asciiTheme="majorHAnsi" w:hAnsiTheme="majorHAnsi" w:cstheme="minorHAnsi"/>
          <w:sz w:val="24"/>
          <w:szCs w:val="24"/>
        </w:rPr>
        <w:t>for patients more than 10 years</w:t>
      </w:r>
      <w:r w:rsidR="00555321" w:rsidRPr="00B36440">
        <w:rPr>
          <w:rFonts w:asciiTheme="majorHAnsi" w:hAnsiTheme="majorHAnsi" w:cstheme="minorHAnsi"/>
          <w:sz w:val="24"/>
          <w:szCs w:val="24"/>
        </w:rPr>
        <w:t xml:space="preserve"> old at disease onset</w:t>
      </w:r>
      <w:r w:rsidR="004B5B06" w:rsidRPr="00B36440">
        <w:rPr>
          <w:rFonts w:asciiTheme="majorHAnsi" w:hAnsiTheme="majorHAnsi" w:cstheme="minorHAnsi"/>
          <w:sz w:val="24"/>
          <w:szCs w:val="24"/>
        </w:rPr>
        <w:t>.</w:t>
      </w:r>
      <w:r w:rsidR="004154C1" w:rsidRPr="00B36440">
        <w:rPr>
          <w:rFonts w:asciiTheme="majorHAnsi" w:hAnsiTheme="majorHAnsi" w:cstheme="minorHAnsi"/>
          <w:sz w:val="24"/>
          <w:szCs w:val="24"/>
          <w:vertAlign w:val="superscript"/>
        </w:rPr>
        <w:t>18,19</w:t>
      </w:r>
      <w:r w:rsidR="00EE3816" w:rsidRPr="00B3644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A067C6" w:rsidRPr="00B36440" w:rsidRDefault="00FC761C" w:rsidP="00695FDE">
      <w:pPr>
        <w:bidi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  <w:vertAlign w:val="superscript"/>
        </w:rPr>
      </w:pPr>
      <w:r w:rsidRPr="00B36440">
        <w:rPr>
          <w:rFonts w:asciiTheme="majorHAnsi" w:hAnsiTheme="majorHAnsi" w:cstheme="minorHAnsi"/>
          <w:sz w:val="24"/>
          <w:szCs w:val="24"/>
        </w:rPr>
        <w:t xml:space="preserve">The patients were divided into 3 age groups: preschool age (1-6 years), school age (6-12 years) and adolescence (12-15). </w:t>
      </w:r>
      <w:r w:rsidR="00F315BF" w:rsidRPr="00B36440">
        <w:rPr>
          <w:rFonts w:asciiTheme="majorHAnsi" w:hAnsiTheme="majorHAnsi" w:cstheme="minorHAnsi"/>
          <w:sz w:val="24"/>
          <w:szCs w:val="24"/>
        </w:rPr>
        <w:t>Steroid</w:t>
      </w:r>
      <w:r w:rsidR="00A51EF2">
        <w:rPr>
          <w:rFonts w:asciiTheme="majorHAnsi" w:hAnsiTheme="majorHAnsi" w:cstheme="minorHAnsi"/>
          <w:sz w:val="24"/>
          <w:szCs w:val="24"/>
        </w:rPr>
        <w:t xml:space="preserve"> </w:t>
      </w:r>
      <w:r w:rsidR="00695FDE">
        <w:rPr>
          <w:rFonts w:asciiTheme="majorHAnsi" w:hAnsiTheme="majorHAnsi" w:cstheme="minorHAnsi"/>
          <w:sz w:val="24"/>
          <w:szCs w:val="24"/>
        </w:rPr>
        <w:t xml:space="preserve">(prednisone) </w:t>
      </w:r>
      <w:r w:rsidR="00F315BF" w:rsidRPr="00B36440">
        <w:rPr>
          <w:rFonts w:asciiTheme="majorHAnsi" w:hAnsiTheme="majorHAnsi" w:cstheme="minorHAnsi"/>
          <w:sz w:val="24"/>
          <w:szCs w:val="24"/>
        </w:rPr>
        <w:t>was given to all</w:t>
      </w:r>
      <w:r w:rsidR="0030228C" w:rsidRPr="00B36440">
        <w:rPr>
          <w:rFonts w:asciiTheme="majorHAnsi" w:hAnsiTheme="majorHAnsi" w:cstheme="minorHAnsi"/>
          <w:sz w:val="24"/>
          <w:szCs w:val="24"/>
        </w:rPr>
        <w:t xml:space="preserve"> patients in </w:t>
      </w:r>
      <w:r w:rsidR="00D2441D" w:rsidRPr="00B36440">
        <w:rPr>
          <w:rFonts w:asciiTheme="majorHAnsi" w:hAnsiTheme="majorHAnsi" w:cstheme="minorHAnsi"/>
          <w:sz w:val="24"/>
          <w:szCs w:val="24"/>
        </w:rPr>
        <w:t xml:space="preserve">a </w:t>
      </w:r>
      <w:r w:rsidR="0030228C" w:rsidRPr="00B36440">
        <w:rPr>
          <w:rFonts w:asciiTheme="majorHAnsi" w:hAnsiTheme="majorHAnsi" w:cstheme="minorHAnsi"/>
          <w:sz w:val="24"/>
          <w:szCs w:val="24"/>
        </w:rPr>
        <w:t xml:space="preserve">dose of 2mg/kg/day, </w:t>
      </w:r>
      <w:r w:rsidR="00F315BF" w:rsidRPr="00B36440">
        <w:rPr>
          <w:rFonts w:asciiTheme="majorHAnsi" w:hAnsiTheme="majorHAnsi" w:cstheme="minorHAnsi"/>
          <w:sz w:val="24"/>
          <w:szCs w:val="24"/>
        </w:rPr>
        <w:t xml:space="preserve">for 4-6 weeks, </w:t>
      </w:r>
      <w:r w:rsidR="006B303C" w:rsidRPr="00B36440">
        <w:rPr>
          <w:rFonts w:asciiTheme="majorHAnsi" w:hAnsiTheme="majorHAnsi" w:cstheme="minorHAnsi"/>
          <w:sz w:val="24"/>
          <w:szCs w:val="24"/>
        </w:rPr>
        <w:t xml:space="preserve">followed by </w:t>
      </w:r>
      <w:r w:rsidR="009D08A6" w:rsidRPr="00B36440">
        <w:rPr>
          <w:rFonts w:asciiTheme="majorHAnsi" w:hAnsiTheme="majorHAnsi" w:cstheme="minorHAnsi"/>
          <w:sz w:val="24"/>
          <w:szCs w:val="24"/>
        </w:rPr>
        <w:t>1.5 mg/kg on alternate days f</w:t>
      </w:r>
      <w:r w:rsidR="0009789C" w:rsidRPr="00B36440">
        <w:rPr>
          <w:rFonts w:asciiTheme="majorHAnsi" w:hAnsiTheme="majorHAnsi" w:cstheme="minorHAnsi"/>
          <w:sz w:val="24"/>
          <w:szCs w:val="24"/>
        </w:rPr>
        <w:t>or 4-6 weeks then gradual</w:t>
      </w:r>
      <w:r w:rsidR="00FF365E" w:rsidRPr="00B36440">
        <w:rPr>
          <w:rFonts w:asciiTheme="majorHAnsi" w:hAnsiTheme="majorHAnsi" w:cstheme="minorHAnsi"/>
          <w:sz w:val="24"/>
          <w:szCs w:val="24"/>
        </w:rPr>
        <w:t>ly</w:t>
      </w:r>
      <w:r w:rsidR="0009789C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14768D" w:rsidRPr="00B36440">
        <w:rPr>
          <w:rFonts w:asciiTheme="majorHAnsi" w:hAnsiTheme="majorHAnsi" w:cstheme="minorHAnsi"/>
          <w:sz w:val="24"/>
          <w:szCs w:val="24"/>
        </w:rPr>
        <w:t>withdrawn</w:t>
      </w:r>
      <w:r w:rsidR="0009789C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F85A6C" w:rsidRPr="00B36440">
        <w:rPr>
          <w:rFonts w:asciiTheme="majorHAnsi" w:hAnsiTheme="majorHAnsi" w:cstheme="minorHAnsi"/>
          <w:sz w:val="24"/>
          <w:szCs w:val="24"/>
        </w:rPr>
        <w:t>over</w:t>
      </w:r>
      <w:r w:rsidR="0009789C" w:rsidRPr="00B36440">
        <w:rPr>
          <w:rFonts w:asciiTheme="majorHAnsi" w:hAnsiTheme="majorHAnsi" w:cstheme="minorHAnsi"/>
          <w:sz w:val="24"/>
          <w:szCs w:val="24"/>
        </w:rPr>
        <w:t xml:space="preserve"> 2-5 months</w:t>
      </w:r>
      <w:r w:rsidR="00FF365E" w:rsidRPr="00B36440">
        <w:rPr>
          <w:rFonts w:asciiTheme="majorHAnsi" w:hAnsiTheme="majorHAnsi" w:cstheme="minorHAnsi"/>
          <w:sz w:val="24"/>
          <w:szCs w:val="24"/>
        </w:rPr>
        <w:t>.</w:t>
      </w:r>
      <w:r w:rsidR="00235F3C" w:rsidRPr="00B36440">
        <w:rPr>
          <w:rFonts w:asciiTheme="majorHAnsi" w:hAnsiTheme="majorHAnsi" w:cstheme="minorHAnsi"/>
          <w:sz w:val="24"/>
          <w:szCs w:val="24"/>
          <w:vertAlign w:val="superscript"/>
        </w:rPr>
        <w:t>17,20</w:t>
      </w:r>
      <w:r w:rsidR="006B777B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The following definitions were used to categorize the steroid response </w:t>
      </w:r>
      <w:r w:rsidR="00D20FE4" w:rsidRPr="00B36440">
        <w:rPr>
          <w:rFonts w:asciiTheme="majorHAnsi" w:hAnsiTheme="majorHAnsi" w:cstheme="minorHAnsi"/>
          <w:sz w:val="24"/>
          <w:szCs w:val="24"/>
        </w:rPr>
        <w:t>patterns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: </w:t>
      </w:r>
      <w:r w:rsidR="00B420C6" w:rsidRPr="00B36440">
        <w:rPr>
          <w:rFonts w:asciiTheme="majorHAnsi" w:hAnsiTheme="majorHAnsi" w:cstheme="minorHAnsi"/>
          <w:sz w:val="24"/>
          <w:szCs w:val="24"/>
        </w:rPr>
        <w:t>c</w:t>
      </w:r>
      <w:r w:rsidR="00170F32" w:rsidRPr="00B36440">
        <w:rPr>
          <w:rFonts w:asciiTheme="majorHAnsi" w:hAnsiTheme="majorHAnsi" w:cstheme="minorHAnsi"/>
          <w:sz w:val="24"/>
          <w:szCs w:val="24"/>
        </w:rPr>
        <w:t>omplete remission (proteinuria &lt;4 mg/h/m</w:t>
      </w:r>
      <w:r w:rsidR="00170F32" w:rsidRPr="00B36440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="00170F32" w:rsidRPr="00B36440">
        <w:rPr>
          <w:rFonts w:asciiTheme="majorHAnsi" w:hAnsiTheme="majorHAnsi" w:cstheme="minorHAnsi"/>
          <w:sz w:val="24"/>
          <w:szCs w:val="24"/>
        </w:rPr>
        <w:t xml:space="preserve">, 0-trace on Albustix or </w:t>
      </w:r>
      <w:r w:rsidR="00F21B12" w:rsidRPr="00B36440">
        <w:rPr>
          <w:rFonts w:asciiTheme="majorHAnsi" w:hAnsiTheme="majorHAnsi" w:cstheme="minorHAnsi"/>
          <w:sz w:val="24"/>
          <w:szCs w:val="24"/>
        </w:rPr>
        <w:t xml:space="preserve">uPCR </w:t>
      </w:r>
      <w:r w:rsidR="00170F32" w:rsidRPr="00B36440">
        <w:rPr>
          <w:rFonts w:asciiTheme="majorHAnsi" w:hAnsiTheme="majorHAnsi" w:cstheme="minorHAnsi"/>
          <w:sz w:val="24"/>
          <w:szCs w:val="24"/>
        </w:rPr>
        <w:t xml:space="preserve">&lt;0.2 g/g); </w:t>
      </w:r>
      <w:r w:rsidR="00032C34" w:rsidRPr="00B36440">
        <w:rPr>
          <w:rFonts w:asciiTheme="majorHAnsi" w:hAnsiTheme="majorHAnsi" w:cstheme="minorHAnsi"/>
          <w:sz w:val="24"/>
          <w:szCs w:val="24"/>
        </w:rPr>
        <w:t>partial remission (proteinuria reduction of 50% or greater from the pres</w:t>
      </w:r>
      <w:r w:rsidR="00B420C6" w:rsidRPr="00B36440">
        <w:rPr>
          <w:rFonts w:asciiTheme="majorHAnsi" w:hAnsiTheme="majorHAnsi" w:cstheme="minorHAnsi"/>
          <w:sz w:val="24"/>
          <w:szCs w:val="24"/>
        </w:rPr>
        <w:t xml:space="preserve">enting value and absolute uPCR </w:t>
      </w:r>
      <w:r w:rsidR="00AF346B">
        <w:rPr>
          <w:rFonts w:asciiTheme="majorHAnsi" w:hAnsiTheme="majorHAnsi" w:cstheme="minorHAnsi"/>
          <w:sz w:val="24"/>
          <w:szCs w:val="24"/>
        </w:rPr>
        <w:t xml:space="preserve">between 0.2 ̶ </w:t>
      </w:r>
      <w:r w:rsidR="00032C34" w:rsidRPr="00B36440">
        <w:rPr>
          <w:rFonts w:asciiTheme="majorHAnsi" w:hAnsiTheme="majorHAnsi" w:cstheme="minorHAnsi"/>
          <w:sz w:val="24"/>
          <w:szCs w:val="24"/>
        </w:rPr>
        <w:t>2 g/g)</w:t>
      </w:r>
      <w:r w:rsidR="00B420C6" w:rsidRPr="00B36440">
        <w:rPr>
          <w:rFonts w:asciiTheme="majorHAnsi" w:hAnsiTheme="majorHAnsi" w:cstheme="minorHAnsi"/>
          <w:sz w:val="24"/>
          <w:szCs w:val="24"/>
        </w:rPr>
        <w:t xml:space="preserve">; </w:t>
      </w:r>
      <w:r w:rsidR="00A44DBA" w:rsidRPr="00B36440">
        <w:rPr>
          <w:rFonts w:asciiTheme="majorHAnsi" w:hAnsiTheme="majorHAnsi" w:cstheme="minorHAnsi"/>
          <w:sz w:val="24"/>
          <w:szCs w:val="24"/>
        </w:rPr>
        <w:t xml:space="preserve">steroid response </w:t>
      </w:r>
      <w:r w:rsidR="008E7F44" w:rsidRPr="00B36440">
        <w:rPr>
          <w:rFonts w:asciiTheme="majorHAnsi" w:hAnsiTheme="majorHAnsi" w:cstheme="minorHAnsi"/>
          <w:sz w:val="24"/>
          <w:szCs w:val="24"/>
        </w:rPr>
        <w:t>(remission with steroid therapy</w:t>
      </w:r>
      <w:r w:rsidR="002F0945" w:rsidRPr="00B36440">
        <w:rPr>
          <w:rFonts w:asciiTheme="majorHAnsi" w:hAnsiTheme="majorHAnsi" w:cstheme="minorHAnsi"/>
          <w:sz w:val="24"/>
          <w:szCs w:val="24"/>
        </w:rPr>
        <w:t>)</w:t>
      </w:r>
      <w:r w:rsidR="00D20FE4" w:rsidRPr="00B36440">
        <w:rPr>
          <w:rFonts w:asciiTheme="majorHAnsi" w:hAnsiTheme="majorHAnsi" w:cstheme="minorHAnsi"/>
          <w:sz w:val="24"/>
          <w:szCs w:val="24"/>
        </w:rPr>
        <w:t>; r</w:t>
      </w:r>
      <w:r w:rsidR="00A423E4" w:rsidRPr="00B36440">
        <w:rPr>
          <w:rFonts w:asciiTheme="majorHAnsi" w:hAnsiTheme="majorHAnsi" w:cstheme="minorHAnsi"/>
          <w:sz w:val="24"/>
          <w:szCs w:val="24"/>
        </w:rPr>
        <w:t>elapse</w:t>
      </w:r>
      <w:r w:rsidR="00D20FE4" w:rsidRPr="00B36440">
        <w:rPr>
          <w:rFonts w:asciiTheme="majorHAnsi" w:hAnsiTheme="majorHAnsi" w:cstheme="minorHAnsi"/>
          <w:sz w:val="24"/>
          <w:szCs w:val="24"/>
        </w:rPr>
        <w:t xml:space="preserve"> (</w:t>
      </w:r>
      <w:r w:rsidR="00607571" w:rsidRPr="00B36440">
        <w:rPr>
          <w:rFonts w:asciiTheme="majorHAnsi" w:hAnsiTheme="majorHAnsi" w:cstheme="minorHAnsi"/>
          <w:sz w:val="24"/>
          <w:szCs w:val="24"/>
        </w:rPr>
        <w:t>nephrotic range proteinuria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 for 3 consecutive days after having been in remission</w:t>
      </w:r>
      <w:r w:rsidR="00D20FE4" w:rsidRPr="00B36440">
        <w:rPr>
          <w:rFonts w:asciiTheme="majorHAnsi" w:hAnsiTheme="majorHAnsi" w:cstheme="minorHAnsi"/>
          <w:sz w:val="24"/>
          <w:szCs w:val="24"/>
        </w:rPr>
        <w:t>); f</w:t>
      </w:r>
      <w:r w:rsidR="00E35057" w:rsidRPr="00B36440">
        <w:rPr>
          <w:rFonts w:asciiTheme="majorHAnsi" w:hAnsiTheme="majorHAnsi" w:cstheme="minorHAnsi"/>
          <w:sz w:val="24"/>
          <w:szCs w:val="24"/>
        </w:rPr>
        <w:t>requent relapse</w:t>
      </w:r>
      <w:r w:rsidR="00903A94" w:rsidRPr="00B36440">
        <w:rPr>
          <w:rFonts w:asciiTheme="majorHAnsi" w:hAnsiTheme="majorHAnsi" w:cstheme="minorHAnsi"/>
          <w:sz w:val="24"/>
          <w:szCs w:val="24"/>
        </w:rPr>
        <w:t>s</w:t>
      </w:r>
      <w:r w:rsidR="00E35057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D20FE4" w:rsidRPr="00B36440">
        <w:rPr>
          <w:rFonts w:asciiTheme="majorHAnsi" w:hAnsiTheme="majorHAnsi" w:cstheme="minorHAnsi"/>
          <w:sz w:val="24"/>
          <w:szCs w:val="24"/>
        </w:rPr>
        <w:t>(</w:t>
      </w:r>
      <w:r w:rsidR="00613BF0" w:rsidRPr="00B36440">
        <w:rPr>
          <w:rFonts w:asciiTheme="majorHAnsi" w:hAnsiTheme="majorHAnsi" w:cstheme="minorHAnsi"/>
          <w:sz w:val="24"/>
          <w:szCs w:val="24"/>
        </w:rPr>
        <w:t xml:space="preserve">≥2 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relapses within 6 months of initial response or </w:t>
      </w:r>
      <w:r w:rsidR="00DD0E17" w:rsidRPr="00B36440">
        <w:rPr>
          <w:rFonts w:asciiTheme="majorHAnsi" w:hAnsiTheme="majorHAnsi" w:cstheme="minorHAnsi"/>
          <w:sz w:val="24"/>
          <w:szCs w:val="24"/>
        </w:rPr>
        <w:t>≥4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 relapses within a period of </w:t>
      </w:r>
      <w:r w:rsidR="00613BF0" w:rsidRPr="00B36440">
        <w:rPr>
          <w:rFonts w:asciiTheme="majorHAnsi" w:hAnsiTheme="majorHAnsi" w:cstheme="minorHAnsi"/>
          <w:sz w:val="24"/>
          <w:szCs w:val="24"/>
        </w:rPr>
        <w:t>12</w:t>
      </w:r>
      <w:r w:rsidR="00A423E4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613BF0" w:rsidRPr="00B36440">
        <w:rPr>
          <w:rFonts w:asciiTheme="majorHAnsi" w:hAnsiTheme="majorHAnsi" w:cstheme="minorHAnsi"/>
          <w:sz w:val="24"/>
          <w:szCs w:val="24"/>
        </w:rPr>
        <w:t>months</w:t>
      </w:r>
      <w:r w:rsidR="00D20FE4" w:rsidRPr="00B36440">
        <w:rPr>
          <w:rFonts w:asciiTheme="majorHAnsi" w:hAnsiTheme="majorHAnsi" w:cstheme="minorHAnsi"/>
          <w:sz w:val="24"/>
          <w:szCs w:val="24"/>
        </w:rPr>
        <w:t xml:space="preserve">); </w:t>
      </w:r>
      <w:r w:rsidR="00B40DBA" w:rsidRPr="00B36440">
        <w:rPr>
          <w:rFonts w:asciiTheme="majorHAnsi" w:hAnsiTheme="majorHAnsi" w:cstheme="minorHAnsi"/>
          <w:sz w:val="24"/>
          <w:szCs w:val="24"/>
        </w:rPr>
        <w:t>s</w:t>
      </w:r>
      <w:r w:rsidR="00A423E4" w:rsidRPr="00B36440">
        <w:rPr>
          <w:rFonts w:asciiTheme="majorHAnsi" w:hAnsiTheme="majorHAnsi" w:cstheme="minorHAnsi"/>
          <w:sz w:val="24"/>
          <w:szCs w:val="24"/>
        </w:rPr>
        <w:t>teroid dependence</w:t>
      </w:r>
      <w:r w:rsidR="00B40DBA" w:rsidRPr="00B36440">
        <w:rPr>
          <w:rFonts w:asciiTheme="majorHAnsi" w:hAnsiTheme="majorHAnsi" w:cstheme="minorHAnsi"/>
          <w:sz w:val="24"/>
          <w:szCs w:val="24"/>
        </w:rPr>
        <w:t xml:space="preserve"> (</w:t>
      </w:r>
      <w:r w:rsidR="002F25F6" w:rsidRPr="00B36440">
        <w:rPr>
          <w:rFonts w:asciiTheme="majorHAnsi" w:hAnsiTheme="majorHAnsi" w:cstheme="minorHAnsi"/>
          <w:sz w:val="24"/>
          <w:szCs w:val="24"/>
        </w:rPr>
        <w:t xml:space="preserve">2 </w:t>
      </w:r>
      <w:r w:rsidR="00A423E4" w:rsidRPr="00B36440">
        <w:rPr>
          <w:rFonts w:asciiTheme="majorHAnsi" w:hAnsiTheme="majorHAnsi" w:cstheme="minorHAnsi"/>
          <w:sz w:val="24"/>
          <w:szCs w:val="24"/>
        </w:rPr>
        <w:t>consecutive relapses during steroid therapy or within 14 days after cessation of successful steroid therapy</w:t>
      </w:r>
      <w:r w:rsidR="000A0C1C" w:rsidRPr="00B36440">
        <w:rPr>
          <w:rFonts w:asciiTheme="majorHAnsi" w:hAnsiTheme="majorHAnsi" w:cstheme="minorHAnsi"/>
          <w:sz w:val="24"/>
          <w:szCs w:val="24"/>
        </w:rPr>
        <w:t>)</w:t>
      </w:r>
      <w:r w:rsidR="003535D6" w:rsidRPr="00B36440">
        <w:rPr>
          <w:rFonts w:asciiTheme="majorHAnsi" w:hAnsiTheme="majorHAnsi" w:cstheme="minorHAnsi"/>
          <w:sz w:val="24"/>
          <w:szCs w:val="24"/>
        </w:rPr>
        <w:t>; steroid resistance</w:t>
      </w:r>
      <w:r w:rsidR="00463F91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3535D6" w:rsidRPr="00B36440">
        <w:rPr>
          <w:rFonts w:asciiTheme="majorHAnsi" w:hAnsiTheme="majorHAnsi" w:cstheme="minorHAnsi"/>
          <w:sz w:val="24"/>
          <w:szCs w:val="24"/>
        </w:rPr>
        <w:t xml:space="preserve">(failure to achieve remission after 8 weeks of steroid therapy); </w:t>
      </w:r>
      <w:r w:rsidR="00E20AA9" w:rsidRPr="00B36440">
        <w:rPr>
          <w:rFonts w:asciiTheme="majorHAnsi" w:hAnsiTheme="majorHAnsi" w:cstheme="minorHAnsi"/>
          <w:sz w:val="24"/>
          <w:szCs w:val="24"/>
        </w:rPr>
        <w:t>i</w:t>
      </w:r>
      <w:r w:rsidR="003535D6" w:rsidRPr="00B36440">
        <w:rPr>
          <w:rFonts w:asciiTheme="majorHAnsi" w:hAnsiTheme="majorHAnsi" w:cstheme="minorHAnsi"/>
          <w:sz w:val="24"/>
          <w:szCs w:val="24"/>
        </w:rPr>
        <w:t>nitial steroid resistant</w:t>
      </w:r>
      <w:r w:rsidR="000A0C1C" w:rsidRPr="00B36440">
        <w:rPr>
          <w:rFonts w:asciiTheme="majorHAnsi" w:hAnsiTheme="majorHAnsi" w:cstheme="minorHAnsi"/>
          <w:sz w:val="24"/>
          <w:szCs w:val="24"/>
        </w:rPr>
        <w:t xml:space="preserve"> (s</w:t>
      </w:r>
      <w:r w:rsidR="00A423E4" w:rsidRPr="00B36440">
        <w:rPr>
          <w:rFonts w:asciiTheme="majorHAnsi" w:hAnsiTheme="majorHAnsi" w:cstheme="minorHAnsi"/>
          <w:sz w:val="24"/>
          <w:szCs w:val="24"/>
        </w:rPr>
        <w:t>teroid resistance during the first episode</w:t>
      </w:r>
      <w:r w:rsidR="000A0C1C" w:rsidRPr="00B36440">
        <w:rPr>
          <w:rFonts w:asciiTheme="majorHAnsi" w:hAnsiTheme="majorHAnsi" w:cstheme="minorHAnsi"/>
          <w:sz w:val="24"/>
          <w:szCs w:val="24"/>
        </w:rPr>
        <w:t>); l</w:t>
      </w:r>
      <w:r w:rsidR="00A423E4" w:rsidRPr="00B36440">
        <w:rPr>
          <w:rFonts w:asciiTheme="majorHAnsi" w:hAnsiTheme="majorHAnsi" w:cstheme="minorHAnsi"/>
          <w:sz w:val="24"/>
          <w:szCs w:val="24"/>
        </w:rPr>
        <w:t>ate steroid resistance</w:t>
      </w:r>
      <w:r w:rsidR="000A0C1C" w:rsidRPr="00B36440">
        <w:rPr>
          <w:rFonts w:asciiTheme="majorHAnsi" w:hAnsiTheme="majorHAnsi" w:cstheme="minorHAnsi"/>
          <w:sz w:val="24"/>
          <w:szCs w:val="24"/>
        </w:rPr>
        <w:t xml:space="preserve"> (</w:t>
      </w:r>
      <w:r w:rsidR="00A423E4" w:rsidRPr="00B36440">
        <w:rPr>
          <w:rFonts w:asciiTheme="majorHAnsi" w:hAnsiTheme="majorHAnsi" w:cstheme="minorHAnsi"/>
          <w:sz w:val="24"/>
          <w:szCs w:val="24"/>
        </w:rPr>
        <w:t>persistent proteinuria during ≥ 4</w:t>
      </w:r>
      <w:r w:rsidR="00E72DD8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A423E4" w:rsidRPr="00B36440">
        <w:rPr>
          <w:rFonts w:asciiTheme="majorHAnsi" w:hAnsiTheme="majorHAnsi" w:cstheme="minorHAnsi"/>
          <w:sz w:val="24"/>
          <w:szCs w:val="24"/>
        </w:rPr>
        <w:t>weeks of steroid following one or more remissions</w:t>
      </w:r>
      <w:r w:rsidR="000A0C1C" w:rsidRPr="00B36440">
        <w:rPr>
          <w:rFonts w:asciiTheme="majorHAnsi" w:hAnsiTheme="majorHAnsi" w:cstheme="minorHAnsi"/>
          <w:sz w:val="24"/>
          <w:szCs w:val="24"/>
        </w:rPr>
        <w:t>)</w:t>
      </w:r>
      <w:r w:rsidR="000625E1" w:rsidRPr="00B36440">
        <w:rPr>
          <w:rFonts w:asciiTheme="majorHAnsi" w:hAnsiTheme="majorHAnsi" w:cstheme="minorHAnsi"/>
          <w:sz w:val="24"/>
          <w:szCs w:val="24"/>
        </w:rPr>
        <w:t>.</w:t>
      </w:r>
      <w:r w:rsidR="00E72DD8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903A94" w:rsidRPr="00B36440">
        <w:rPr>
          <w:rFonts w:asciiTheme="majorHAnsi" w:hAnsiTheme="majorHAnsi" w:cstheme="minorHAnsi"/>
          <w:sz w:val="24"/>
          <w:szCs w:val="24"/>
          <w:vertAlign w:val="superscript"/>
        </w:rPr>
        <w:t>17,20,21</w:t>
      </w:r>
    </w:p>
    <w:p w:rsidR="0051337C" w:rsidRPr="00B36440" w:rsidRDefault="00BA072F" w:rsidP="00A0166D">
      <w:pPr>
        <w:bidi w:val="0"/>
        <w:spacing w:before="120" w:after="120" w:line="240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B36440">
        <w:rPr>
          <w:rFonts w:asciiTheme="majorHAnsi" w:hAnsiTheme="majorHAnsi" w:cstheme="minorHAnsi"/>
          <w:sz w:val="24"/>
          <w:szCs w:val="24"/>
        </w:rPr>
        <w:t xml:space="preserve">Renal biopsy was </w:t>
      </w:r>
      <w:r w:rsidR="000C4AFA" w:rsidRPr="00B36440">
        <w:rPr>
          <w:rFonts w:asciiTheme="majorHAnsi" w:hAnsiTheme="majorHAnsi" w:cstheme="minorHAnsi"/>
          <w:sz w:val="24"/>
          <w:szCs w:val="24"/>
        </w:rPr>
        <w:t>indicated</w:t>
      </w:r>
      <w:r w:rsidRPr="00B36440">
        <w:rPr>
          <w:rFonts w:asciiTheme="majorHAnsi" w:hAnsiTheme="majorHAnsi" w:cstheme="minorHAnsi"/>
          <w:sz w:val="24"/>
          <w:szCs w:val="24"/>
        </w:rPr>
        <w:t xml:space="preserve"> at presentation for patients </w:t>
      </w:r>
      <w:r w:rsidR="000C4AFA" w:rsidRPr="00B36440">
        <w:rPr>
          <w:rFonts w:asciiTheme="majorHAnsi" w:hAnsiTheme="majorHAnsi" w:cstheme="minorHAnsi"/>
          <w:sz w:val="24"/>
          <w:szCs w:val="24"/>
        </w:rPr>
        <w:t>with</w:t>
      </w:r>
      <w:r w:rsidR="007A5EF5" w:rsidRPr="00B36440">
        <w:rPr>
          <w:rFonts w:asciiTheme="majorHAnsi" w:hAnsiTheme="majorHAnsi" w:cstheme="minorHAnsi"/>
          <w:sz w:val="24"/>
          <w:szCs w:val="24"/>
        </w:rPr>
        <w:t xml:space="preserve"> atypical </w:t>
      </w:r>
      <w:r w:rsidR="00A0166D" w:rsidRPr="00B36440">
        <w:rPr>
          <w:rFonts w:asciiTheme="majorHAnsi" w:hAnsiTheme="majorHAnsi" w:cstheme="minorHAnsi"/>
          <w:sz w:val="24"/>
          <w:szCs w:val="24"/>
        </w:rPr>
        <w:t>features</w:t>
      </w:r>
      <w:r w:rsidR="005C540E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7A5EF5" w:rsidRPr="00B36440">
        <w:rPr>
          <w:rFonts w:asciiTheme="majorHAnsi" w:hAnsiTheme="majorHAnsi" w:cstheme="minorHAnsi"/>
          <w:sz w:val="24"/>
          <w:szCs w:val="24"/>
        </w:rPr>
        <w:t>(</w:t>
      </w:r>
      <w:r w:rsidRPr="00B36440">
        <w:rPr>
          <w:rFonts w:asciiTheme="majorHAnsi" w:hAnsiTheme="majorHAnsi" w:cstheme="minorHAnsi"/>
          <w:sz w:val="24"/>
          <w:szCs w:val="24"/>
        </w:rPr>
        <w:t>age</w:t>
      </w:r>
      <w:r w:rsidR="005C540E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Pr="00B36440">
        <w:rPr>
          <w:rFonts w:asciiTheme="majorHAnsi" w:hAnsiTheme="majorHAnsi" w:cstheme="minorHAnsi"/>
          <w:sz w:val="24"/>
          <w:szCs w:val="24"/>
        </w:rPr>
        <w:t xml:space="preserve">&gt;10 years, persistent hypertension, gross hematuria, renal impairment not </w:t>
      </w:r>
      <w:r w:rsidRPr="00B36440">
        <w:rPr>
          <w:rFonts w:asciiTheme="majorHAnsi" w:hAnsiTheme="majorHAnsi" w:cstheme="minorHAnsi"/>
          <w:sz w:val="24"/>
          <w:szCs w:val="24"/>
        </w:rPr>
        <w:lastRenderedPageBreak/>
        <w:t xml:space="preserve">attributable to hypovolemia </w:t>
      </w:r>
      <w:r w:rsidR="000C4AFA" w:rsidRPr="00B36440">
        <w:rPr>
          <w:rFonts w:asciiTheme="majorHAnsi" w:hAnsiTheme="majorHAnsi" w:cstheme="minorHAnsi"/>
          <w:sz w:val="24"/>
          <w:szCs w:val="24"/>
        </w:rPr>
        <w:t>or</w:t>
      </w:r>
      <w:r w:rsidRPr="00B36440">
        <w:rPr>
          <w:rFonts w:asciiTheme="majorHAnsi" w:hAnsiTheme="majorHAnsi" w:cstheme="minorHAnsi"/>
          <w:sz w:val="24"/>
          <w:szCs w:val="24"/>
        </w:rPr>
        <w:t xml:space="preserve"> low C3</w:t>
      </w:r>
      <w:r w:rsidR="007A5EF5" w:rsidRPr="00B36440">
        <w:rPr>
          <w:rFonts w:asciiTheme="majorHAnsi" w:hAnsiTheme="majorHAnsi" w:cstheme="minorHAnsi"/>
          <w:sz w:val="24"/>
          <w:szCs w:val="24"/>
        </w:rPr>
        <w:t>)</w:t>
      </w:r>
      <w:r w:rsidR="005C540E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Pr="00B36440">
        <w:rPr>
          <w:rFonts w:asciiTheme="majorHAnsi" w:hAnsiTheme="majorHAnsi" w:cstheme="minorHAnsi"/>
          <w:sz w:val="24"/>
          <w:szCs w:val="24"/>
        </w:rPr>
        <w:t xml:space="preserve">and following therapy initiation </w:t>
      </w:r>
      <w:r w:rsidR="00DD3054" w:rsidRPr="00B36440">
        <w:rPr>
          <w:rFonts w:asciiTheme="majorHAnsi" w:hAnsiTheme="majorHAnsi" w:cstheme="minorHAnsi"/>
          <w:sz w:val="24"/>
          <w:szCs w:val="24"/>
        </w:rPr>
        <w:t>for</w:t>
      </w:r>
      <w:r w:rsidR="004820AC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F479CA" w:rsidRPr="00B36440">
        <w:rPr>
          <w:rFonts w:asciiTheme="majorHAnsi" w:hAnsiTheme="majorHAnsi" w:cstheme="minorHAnsi"/>
          <w:sz w:val="24"/>
          <w:szCs w:val="24"/>
        </w:rPr>
        <w:t xml:space="preserve">patients with </w:t>
      </w:r>
      <w:r w:rsidR="00761803" w:rsidRPr="00B36440">
        <w:rPr>
          <w:rFonts w:asciiTheme="majorHAnsi" w:hAnsiTheme="majorHAnsi" w:cstheme="minorHAnsi"/>
          <w:sz w:val="24"/>
          <w:szCs w:val="24"/>
        </w:rPr>
        <w:t>initial or late SRNS</w:t>
      </w:r>
      <w:r w:rsidR="004820AC" w:rsidRPr="00B36440">
        <w:rPr>
          <w:rFonts w:asciiTheme="majorHAnsi" w:hAnsiTheme="majorHAnsi" w:cstheme="minorHAnsi"/>
          <w:sz w:val="24"/>
          <w:szCs w:val="24"/>
        </w:rPr>
        <w:t xml:space="preserve"> and </w:t>
      </w:r>
      <w:r w:rsidR="007C5FBB" w:rsidRPr="00B36440">
        <w:rPr>
          <w:rFonts w:asciiTheme="majorHAnsi" w:hAnsiTheme="majorHAnsi" w:cstheme="minorHAnsi"/>
          <w:sz w:val="24"/>
          <w:szCs w:val="24"/>
        </w:rPr>
        <w:t xml:space="preserve">those with </w:t>
      </w:r>
      <w:r w:rsidR="00761803" w:rsidRPr="00B36440">
        <w:rPr>
          <w:rFonts w:asciiTheme="majorHAnsi" w:hAnsiTheme="majorHAnsi" w:cstheme="minorHAnsi"/>
          <w:sz w:val="24"/>
          <w:szCs w:val="24"/>
        </w:rPr>
        <w:t>SDNS</w:t>
      </w:r>
      <w:r w:rsidR="00F479CA" w:rsidRPr="00B36440">
        <w:rPr>
          <w:rFonts w:asciiTheme="majorHAnsi" w:hAnsiTheme="majorHAnsi" w:cstheme="minorHAnsi"/>
          <w:sz w:val="24"/>
          <w:szCs w:val="24"/>
        </w:rPr>
        <w:t xml:space="preserve"> or </w:t>
      </w:r>
      <w:r w:rsidR="00761803" w:rsidRPr="00B36440">
        <w:rPr>
          <w:rFonts w:asciiTheme="majorHAnsi" w:hAnsiTheme="majorHAnsi" w:cstheme="minorHAnsi"/>
          <w:sz w:val="24"/>
          <w:szCs w:val="24"/>
        </w:rPr>
        <w:t>FRNS</w:t>
      </w:r>
      <w:r w:rsidR="00F479CA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4820AC" w:rsidRPr="00B36440">
        <w:rPr>
          <w:rFonts w:asciiTheme="majorHAnsi" w:hAnsiTheme="majorHAnsi" w:cstheme="minorHAnsi"/>
          <w:sz w:val="24"/>
          <w:szCs w:val="24"/>
        </w:rPr>
        <w:t>before treatment with cyclosporine</w:t>
      </w:r>
      <w:r w:rsidR="008E46A0" w:rsidRPr="00B36440">
        <w:rPr>
          <w:rFonts w:asciiTheme="majorHAnsi" w:hAnsiTheme="majorHAnsi" w:cstheme="minorHAnsi"/>
          <w:sz w:val="24"/>
          <w:szCs w:val="24"/>
        </w:rPr>
        <w:t xml:space="preserve"> A (CsA)</w:t>
      </w:r>
      <w:r w:rsidR="004820AC" w:rsidRPr="00B36440">
        <w:rPr>
          <w:rFonts w:asciiTheme="majorHAnsi" w:hAnsiTheme="majorHAnsi" w:cstheme="minorHAnsi"/>
          <w:sz w:val="24"/>
          <w:szCs w:val="24"/>
        </w:rPr>
        <w:t>.</w:t>
      </w:r>
      <w:r w:rsidR="00B842C5" w:rsidRPr="00B36440">
        <w:rPr>
          <w:rFonts w:asciiTheme="majorHAnsi" w:hAnsiTheme="majorHAnsi" w:cstheme="minorHAnsi"/>
          <w:sz w:val="24"/>
          <w:szCs w:val="24"/>
          <w:vertAlign w:val="superscript"/>
        </w:rPr>
        <w:t>17</w:t>
      </w:r>
      <w:r w:rsidR="00C83571" w:rsidRPr="00B36440">
        <w:rPr>
          <w:rFonts w:asciiTheme="majorHAnsi" w:hAnsiTheme="majorHAnsi" w:cstheme="minorHAnsi"/>
          <w:sz w:val="24"/>
          <w:szCs w:val="24"/>
          <w:vertAlign w:val="superscript"/>
        </w:rPr>
        <w:t>,</w:t>
      </w:r>
      <w:r w:rsidR="00B842C5" w:rsidRPr="00B36440">
        <w:rPr>
          <w:rFonts w:asciiTheme="majorHAnsi" w:hAnsiTheme="majorHAnsi" w:cstheme="minorHAnsi"/>
          <w:sz w:val="24"/>
          <w:szCs w:val="24"/>
          <w:vertAlign w:val="superscript"/>
        </w:rPr>
        <w:t>1</w:t>
      </w:r>
      <w:r w:rsidR="00C83571" w:rsidRPr="00B36440">
        <w:rPr>
          <w:rFonts w:asciiTheme="majorHAnsi" w:hAnsiTheme="majorHAnsi" w:cstheme="minorHAnsi"/>
          <w:sz w:val="24"/>
          <w:szCs w:val="24"/>
          <w:vertAlign w:val="superscript"/>
        </w:rPr>
        <w:t>9</w:t>
      </w:r>
      <w:r w:rsidR="00B842C5" w:rsidRPr="00B36440">
        <w:rPr>
          <w:rFonts w:asciiTheme="majorHAnsi" w:hAnsiTheme="majorHAnsi" w:cstheme="minorHAnsi"/>
          <w:sz w:val="24"/>
          <w:szCs w:val="24"/>
          <w:vertAlign w:val="superscript"/>
        </w:rPr>
        <w:t>,22</w:t>
      </w:r>
      <w:r w:rsidR="00C83571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="0047485B" w:rsidRPr="00B36440">
        <w:rPr>
          <w:rFonts w:asciiTheme="majorHAnsi" w:hAnsiTheme="majorHAnsi" w:cstheme="minorHAnsi"/>
          <w:sz w:val="24"/>
          <w:szCs w:val="24"/>
        </w:rPr>
        <w:t>Informed w</w:t>
      </w:r>
      <w:r w:rsidR="000C4AFA" w:rsidRPr="00B36440">
        <w:rPr>
          <w:rFonts w:asciiTheme="majorHAnsi" w:hAnsiTheme="majorHAnsi" w:cstheme="minorHAnsi"/>
          <w:sz w:val="24"/>
          <w:szCs w:val="24"/>
        </w:rPr>
        <w:t xml:space="preserve">ritten consent was taken from the parents before </w:t>
      </w:r>
      <w:r w:rsidR="0047485B" w:rsidRPr="00B36440">
        <w:rPr>
          <w:rFonts w:asciiTheme="majorHAnsi" w:hAnsiTheme="majorHAnsi" w:cstheme="minorHAnsi"/>
          <w:sz w:val="24"/>
          <w:szCs w:val="24"/>
        </w:rPr>
        <w:t>t</w:t>
      </w:r>
      <w:r w:rsidR="000C4AFA" w:rsidRPr="00B36440">
        <w:rPr>
          <w:rFonts w:asciiTheme="majorHAnsi" w:hAnsiTheme="majorHAnsi" w:cstheme="minorHAnsi"/>
          <w:sz w:val="24"/>
          <w:szCs w:val="24"/>
        </w:rPr>
        <w:t xml:space="preserve">he procedure and the specimens were examined by the same pathologist using light microscopy. </w:t>
      </w:r>
    </w:p>
    <w:p w:rsidR="00A83F98" w:rsidRPr="00B36440" w:rsidRDefault="00A067C6" w:rsidP="00B41AC0">
      <w:pPr>
        <w:bidi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B36440">
        <w:rPr>
          <w:rFonts w:asciiTheme="majorHAnsi" w:hAnsiTheme="majorHAnsi" w:cstheme="minorHAnsi"/>
          <w:sz w:val="24"/>
          <w:szCs w:val="24"/>
        </w:rPr>
        <w:t>Statistical package for the social sciences (SPSS) version 16 was used for data analysis. Quantitative variables were presented as mean ± standard deviation</w:t>
      </w:r>
      <w:r w:rsidR="004F1101" w:rsidRPr="00B36440">
        <w:rPr>
          <w:rFonts w:asciiTheme="majorHAnsi" w:hAnsiTheme="majorHAnsi" w:cstheme="minorHAnsi"/>
          <w:sz w:val="24"/>
          <w:szCs w:val="24"/>
        </w:rPr>
        <w:t xml:space="preserve">. </w:t>
      </w:r>
      <w:r w:rsidR="00804A34" w:rsidRPr="00B36440">
        <w:rPr>
          <w:rFonts w:asciiTheme="majorHAnsi" w:hAnsiTheme="majorHAnsi" w:cstheme="minorHAnsi"/>
          <w:sz w:val="24"/>
          <w:szCs w:val="24"/>
        </w:rPr>
        <w:t xml:space="preserve">Frequency and percentage </w:t>
      </w:r>
      <w:r w:rsidR="002C6D99">
        <w:rPr>
          <w:rFonts w:asciiTheme="majorHAnsi" w:hAnsiTheme="majorHAnsi" w:cstheme="minorHAnsi"/>
          <w:sz w:val="24"/>
          <w:szCs w:val="24"/>
        </w:rPr>
        <w:t>were</w:t>
      </w:r>
      <w:r w:rsidR="00804A34" w:rsidRPr="00B36440">
        <w:rPr>
          <w:rFonts w:asciiTheme="majorHAnsi" w:hAnsiTheme="majorHAnsi" w:cstheme="minorHAnsi"/>
          <w:sz w:val="24"/>
          <w:szCs w:val="24"/>
        </w:rPr>
        <w:t xml:space="preserve"> used for qua</w:t>
      </w:r>
      <w:r w:rsidR="00B41AC0">
        <w:rPr>
          <w:rFonts w:asciiTheme="majorHAnsi" w:hAnsiTheme="majorHAnsi" w:cstheme="minorHAnsi"/>
          <w:sz w:val="24"/>
          <w:szCs w:val="24"/>
        </w:rPr>
        <w:t>li</w:t>
      </w:r>
      <w:r w:rsidR="00804A34" w:rsidRPr="00B36440">
        <w:rPr>
          <w:rFonts w:asciiTheme="majorHAnsi" w:hAnsiTheme="majorHAnsi" w:cstheme="minorHAnsi"/>
          <w:sz w:val="24"/>
          <w:szCs w:val="24"/>
        </w:rPr>
        <w:t xml:space="preserve">tative variables. </w:t>
      </w:r>
      <w:r w:rsidR="004F1101" w:rsidRPr="00B36440">
        <w:rPr>
          <w:rFonts w:asciiTheme="majorHAnsi" w:hAnsiTheme="majorHAnsi" w:cstheme="minorHAnsi"/>
          <w:sz w:val="24"/>
          <w:szCs w:val="24"/>
        </w:rPr>
        <w:t xml:space="preserve">For </w:t>
      </w:r>
      <w:r w:rsidR="00BF0AB7" w:rsidRPr="00B36440">
        <w:rPr>
          <w:rFonts w:asciiTheme="majorHAnsi" w:hAnsiTheme="majorHAnsi" w:cstheme="minorHAnsi"/>
          <w:sz w:val="24"/>
          <w:szCs w:val="24"/>
        </w:rPr>
        <w:t>estimation of differences</w:t>
      </w:r>
      <w:r w:rsidR="004F1101" w:rsidRPr="00B36440">
        <w:rPr>
          <w:rFonts w:asciiTheme="majorHAnsi" w:hAnsiTheme="majorHAnsi" w:cstheme="minorHAnsi"/>
          <w:sz w:val="24"/>
          <w:szCs w:val="24"/>
        </w:rPr>
        <w:t xml:space="preserve"> </w:t>
      </w:r>
      <w:r w:rsidRPr="00B36440">
        <w:rPr>
          <w:rFonts w:asciiTheme="majorHAnsi" w:hAnsiTheme="majorHAnsi" w:cstheme="minorHAnsi"/>
          <w:sz w:val="24"/>
          <w:szCs w:val="24"/>
        </w:rPr>
        <w:t xml:space="preserve">between qualitative variables, Chi-square </w:t>
      </w:r>
      <w:r w:rsidR="0006117A" w:rsidRPr="00B36440">
        <w:rPr>
          <w:rFonts w:asciiTheme="majorHAnsi" w:hAnsiTheme="majorHAnsi" w:cstheme="minorHAnsi"/>
          <w:sz w:val="24"/>
          <w:szCs w:val="24"/>
        </w:rPr>
        <w:t xml:space="preserve">and </w:t>
      </w:r>
      <w:r w:rsidRPr="00B36440">
        <w:rPr>
          <w:rFonts w:asciiTheme="majorHAnsi" w:hAnsiTheme="majorHAnsi" w:cstheme="minorHAnsi"/>
          <w:sz w:val="24"/>
          <w:szCs w:val="24"/>
        </w:rPr>
        <w:t xml:space="preserve">Fisher Exact Test </w:t>
      </w:r>
      <w:r w:rsidR="0006117A" w:rsidRPr="00B36440">
        <w:rPr>
          <w:rFonts w:asciiTheme="majorHAnsi" w:hAnsiTheme="majorHAnsi" w:cstheme="minorHAnsi"/>
          <w:sz w:val="24"/>
          <w:szCs w:val="24"/>
        </w:rPr>
        <w:t>were</w:t>
      </w:r>
      <w:r w:rsidRPr="00B36440">
        <w:rPr>
          <w:rFonts w:asciiTheme="majorHAnsi" w:hAnsiTheme="majorHAnsi" w:cstheme="minorHAnsi"/>
          <w:sz w:val="24"/>
          <w:szCs w:val="24"/>
        </w:rPr>
        <w:t xml:space="preserve"> used. </w:t>
      </w:r>
      <w:r w:rsidRPr="00B36440">
        <w:rPr>
          <w:rFonts w:asciiTheme="majorHAnsi" w:hAnsiTheme="majorHAnsi" w:cstheme="minorHAnsi"/>
          <w:b/>
          <w:bCs/>
          <w:i/>
          <w:iCs/>
          <w:sz w:val="24"/>
          <w:szCs w:val="24"/>
        </w:rPr>
        <w:t>P</w:t>
      </w:r>
      <w:r w:rsidRPr="00B36440">
        <w:rPr>
          <w:rFonts w:asciiTheme="majorHAnsi" w:hAnsiTheme="majorHAnsi" w:cstheme="minorHAnsi"/>
          <w:sz w:val="24"/>
          <w:szCs w:val="24"/>
        </w:rPr>
        <w:t xml:space="preserve"> values less than 0.05 were considered significant.</w:t>
      </w:r>
    </w:p>
    <w:p w:rsidR="0051337C" w:rsidRPr="00B36440" w:rsidRDefault="00A83F98" w:rsidP="00EE36EF">
      <w:pPr>
        <w:bidi w:val="0"/>
        <w:spacing w:before="12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B36440">
        <w:rPr>
          <w:rFonts w:asciiTheme="majorHAnsi" w:hAnsiTheme="majorHAnsi" w:cstheme="minorHAnsi"/>
          <w:sz w:val="24"/>
          <w:szCs w:val="24"/>
        </w:rPr>
        <w:t>This study was approved by the ethical committee of Sohag University</w:t>
      </w:r>
      <w:r w:rsidR="00EA073A" w:rsidRPr="00B3644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D65C93" w:rsidRPr="00DE1A9B" w:rsidRDefault="00D65C93" w:rsidP="00EE36EF">
      <w:pPr>
        <w:autoSpaceDE w:val="0"/>
        <w:autoSpaceDN w:val="0"/>
        <w:bidi w:val="0"/>
        <w:adjustRightInd w:val="0"/>
        <w:spacing w:before="240" w:after="80" w:line="240" w:lineRule="auto"/>
        <w:contextualSpacing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DE1A9B">
        <w:rPr>
          <w:rFonts w:asciiTheme="majorHAnsi" w:hAnsiTheme="majorHAnsi" w:cstheme="minorHAnsi"/>
          <w:b/>
          <w:bCs/>
          <w:sz w:val="28"/>
          <w:szCs w:val="28"/>
        </w:rPr>
        <w:t>Results</w:t>
      </w:r>
    </w:p>
    <w:p w:rsidR="00E12C18" w:rsidRPr="00DE1A9B" w:rsidRDefault="00836CBF" w:rsidP="00D10C1D">
      <w:pPr>
        <w:autoSpaceDE w:val="0"/>
        <w:autoSpaceDN w:val="0"/>
        <w:bidi w:val="0"/>
        <w:adjustRightInd w:val="0"/>
        <w:spacing w:before="8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E1A9B">
        <w:rPr>
          <w:rFonts w:asciiTheme="majorHAnsi" w:hAnsiTheme="majorHAnsi" w:cstheme="minorHAnsi"/>
          <w:sz w:val="24"/>
          <w:szCs w:val="24"/>
        </w:rPr>
        <w:t xml:space="preserve">The total studied patients were 77 (47 males and 30 females) with male/female ratio 1.6/1. </w:t>
      </w:r>
      <w:r w:rsidR="0082323A" w:rsidRPr="00DE1A9B">
        <w:rPr>
          <w:rFonts w:asciiTheme="majorHAnsi" w:hAnsiTheme="majorHAnsi" w:cstheme="minorHAnsi"/>
          <w:sz w:val="24"/>
          <w:szCs w:val="24"/>
        </w:rPr>
        <w:t>M</w:t>
      </w:r>
      <w:r w:rsidR="00D65C93" w:rsidRPr="00DE1A9B">
        <w:rPr>
          <w:rFonts w:asciiTheme="majorHAnsi" w:hAnsiTheme="majorHAnsi" w:cstheme="minorHAnsi"/>
          <w:sz w:val="24"/>
          <w:szCs w:val="24"/>
        </w:rPr>
        <w:t xml:space="preserve">ean age of patients at </w:t>
      </w:r>
      <w:r w:rsidR="00F9058B" w:rsidRPr="00DE1A9B">
        <w:rPr>
          <w:rFonts w:asciiTheme="majorHAnsi" w:hAnsiTheme="majorHAnsi" w:cstheme="minorHAnsi"/>
          <w:sz w:val="24"/>
          <w:szCs w:val="24"/>
        </w:rPr>
        <w:t>disease onset</w:t>
      </w:r>
      <w:r w:rsidR="00D65C93" w:rsidRPr="00DE1A9B">
        <w:rPr>
          <w:rFonts w:asciiTheme="majorHAnsi" w:hAnsiTheme="majorHAnsi" w:cstheme="minorHAnsi"/>
          <w:sz w:val="24"/>
          <w:szCs w:val="24"/>
        </w:rPr>
        <w:t xml:space="preserve"> was </w:t>
      </w:r>
      <w:r w:rsidR="00790DF6" w:rsidRPr="00DE1A9B">
        <w:rPr>
          <w:rFonts w:ascii="Goudy" w:hAnsi="Goudy" w:cs="Goudy"/>
          <w:color w:val="000000"/>
          <w:sz w:val="24"/>
          <w:szCs w:val="24"/>
        </w:rPr>
        <w:t xml:space="preserve">4.87±2.94 </w:t>
      </w:r>
      <w:r w:rsidR="00D65C93" w:rsidRPr="00DE1A9B">
        <w:rPr>
          <w:rFonts w:asciiTheme="majorHAnsi" w:hAnsiTheme="majorHAnsi" w:cstheme="minorHAnsi"/>
          <w:sz w:val="24"/>
          <w:szCs w:val="24"/>
        </w:rPr>
        <w:t>(range 1</w:t>
      </w:r>
      <w:r w:rsidR="001F1FA4" w:rsidRPr="00DE1A9B">
        <w:rPr>
          <w:rFonts w:asciiTheme="majorHAnsi" w:hAnsiTheme="majorHAnsi" w:cstheme="minorHAnsi"/>
          <w:sz w:val="24"/>
          <w:szCs w:val="24"/>
        </w:rPr>
        <w:t>.5</w:t>
      </w:r>
      <w:r w:rsidR="00D65C93" w:rsidRPr="00DE1A9B">
        <w:rPr>
          <w:rFonts w:asciiTheme="majorHAnsi" w:hAnsiTheme="majorHAnsi" w:cstheme="minorHAnsi"/>
          <w:sz w:val="24"/>
          <w:szCs w:val="24"/>
        </w:rPr>
        <w:t>-15</w:t>
      </w:r>
      <w:r w:rsidRPr="00DE1A9B">
        <w:rPr>
          <w:rFonts w:asciiTheme="majorHAnsi" w:hAnsiTheme="majorHAnsi" w:cstheme="minorHAnsi"/>
          <w:sz w:val="24"/>
          <w:szCs w:val="24"/>
        </w:rPr>
        <w:t>)</w:t>
      </w:r>
      <w:r w:rsidR="00D65C93" w:rsidRPr="00DE1A9B">
        <w:rPr>
          <w:rFonts w:asciiTheme="majorHAnsi" w:hAnsiTheme="majorHAnsi" w:cstheme="minorHAnsi"/>
          <w:sz w:val="24"/>
          <w:szCs w:val="24"/>
        </w:rPr>
        <w:t xml:space="preserve"> years</w:t>
      </w:r>
      <w:r w:rsidR="00B825F2" w:rsidRPr="00DE1A9B">
        <w:rPr>
          <w:rFonts w:asciiTheme="majorHAnsi" w:hAnsiTheme="majorHAnsi" w:cstheme="minorHAnsi"/>
          <w:sz w:val="24"/>
          <w:szCs w:val="24"/>
        </w:rPr>
        <w:t xml:space="preserve">, with peak incidence at 1-6 years </w:t>
      </w:r>
      <w:r w:rsidR="00DD6A76" w:rsidRPr="00DE1A9B">
        <w:rPr>
          <w:rFonts w:asciiTheme="majorHAnsi" w:hAnsiTheme="majorHAnsi" w:cstheme="minorHAnsi"/>
          <w:sz w:val="24"/>
          <w:szCs w:val="24"/>
        </w:rPr>
        <w:t xml:space="preserve">representing 71.4% of total </w:t>
      </w:r>
      <w:r w:rsidR="00C83D6A" w:rsidRPr="00DE1A9B">
        <w:rPr>
          <w:rFonts w:asciiTheme="majorHAnsi" w:hAnsiTheme="majorHAnsi" w:cstheme="minorHAnsi"/>
          <w:sz w:val="24"/>
          <w:szCs w:val="24"/>
        </w:rPr>
        <w:t>patients</w:t>
      </w:r>
      <w:r w:rsidR="00DD6A76" w:rsidRPr="00DE1A9B">
        <w:rPr>
          <w:rFonts w:asciiTheme="majorHAnsi" w:hAnsiTheme="majorHAnsi" w:cstheme="minorHAnsi"/>
          <w:sz w:val="24"/>
          <w:szCs w:val="24"/>
        </w:rPr>
        <w:t>.</w:t>
      </w:r>
      <w:r w:rsidR="009D539E" w:rsidRPr="00DE1A9B">
        <w:rPr>
          <w:rFonts w:asciiTheme="majorHAnsi" w:hAnsiTheme="majorHAnsi" w:cstheme="minorHAnsi"/>
          <w:sz w:val="24"/>
          <w:szCs w:val="24"/>
        </w:rPr>
        <w:t xml:space="preserve"> The mean follow up duration was 2.30</w:t>
      </w:r>
      <w:r w:rsidR="009D539E" w:rsidRPr="00DE1A9B">
        <w:rPr>
          <w:rFonts w:ascii="Calibri" w:hAnsi="Calibri" w:cs="Calibri"/>
          <w:sz w:val="24"/>
          <w:szCs w:val="24"/>
        </w:rPr>
        <w:t>±</w:t>
      </w:r>
      <w:r w:rsidR="009D539E" w:rsidRPr="00DE1A9B">
        <w:rPr>
          <w:rFonts w:asciiTheme="majorHAnsi" w:hAnsiTheme="majorHAnsi" w:cstheme="minorHAnsi"/>
          <w:sz w:val="24"/>
          <w:szCs w:val="24"/>
        </w:rPr>
        <w:t>1.15 (range 1-5) years.</w:t>
      </w:r>
      <w:r w:rsidRPr="00DE1A9B">
        <w:rPr>
          <w:rFonts w:asciiTheme="majorHAnsi" w:hAnsiTheme="majorHAnsi" w:cstheme="minorHAnsi"/>
          <w:sz w:val="24"/>
          <w:szCs w:val="24"/>
        </w:rPr>
        <w:t xml:space="preserve"> 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Initial hematuria was detected in </w:t>
      </w:r>
      <w:r w:rsidR="00867E56">
        <w:rPr>
          <w:rFonts w:asciiTheme="majorHAnsi" w:hAnsiTheme="majorHAnsi" w:cstheme="minorHAnsi"/>
          <w:sz w:val="24"/>
          <w:szCs w:val="24"/>
        </w:rPr>
        <w:t>20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 (26%) patients</w:t>
      </w:r>
      <w:r w:rsidR="008D7646" w:rsidRPr="00DE1A9B">
        <w:rPr>
          <w:rFonts w:asciiTheme="majorHAnsi" w:hAnsiTheme="majorHAnsi" w:cstheme="minorHAnsi"/>
          <w:sz w:val="24"/>
          <w:szCs w:val="24"/>
        </w:rPr>
        <w:t xml:space="preserve"> with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 gross hematuria in 2 (2.6%) patients and microscopic hematuria in </w:t>
      </w:r>
      <w:r w:rsidR="00867E56">
        <w:rPr>
          <w:rFonts w:asciiTheme="majorHAnsi" w:hAnsiTheme="majorHAnsi" w:cstheme="minorHAnsi"/>
          <w:sz w:val="24"/>
          <w:szCs w:val="24"/>
        </w:rPr>
        <w:t>18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 (23.4%) patients. Initial hypertension was found in </w:t>
      </w:r>
      <w:r w:rsidR="00FD134C" w:rsidRPr="00DE1A9B">
        <w:rPr>
          <w:rFonts w:asciiTheme="majorHAnsi" w:hAnsiTheme="majorHAnsi" w:cstheme="minorHAnsi"/>
          <w:sz w:val="24"/>
          <w:szCs w:val="24"/>
        </w:rPr>
        <w:t>14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 (</w:t>
      </w:r>
      <w:r w:rsidR="00FD134C" w:rsidRPr="00DE1A9B">
        <w:rPr>
          <w:rFonts w:asciiTheme="majorHAnsi" w:hAnsiTheme="majorHAnsi" w:cstheme="minorHAnsi"/>
          <w:sz w:val="24"/>
          <w:szCs w:val="24"/>
        </w:rPr>
        <w:t>18.2</w:t>
      </w:r>
      <w:r w:rsidR="001C1A0B" w:rsidRPr="00DE1A9B">
        <w:rPr>
          <w:rFonts w:asciiTheme="majorHAnsi" w:hAnsiTheme="majorHAnsi" w:cstheme="minorHAnsi"/>
          <w:sz w:val="24"/>
          <w:szCs w:val="24"/>
        </w:rPr>
        <w:t>%) patients. Initial renal impairment was present in 2 (</w:t>
      </w:r>
      <w:r w:rsidR="00FD134C" w:rsidRPr="00DE1A9B">
        <w:rPr>
          <w:rFonts w:asciiTheme="majorHAnsi" w:hAnsiTheme="majorHAnsi" w:cstheme="minorHAnsi"/>
          <w:sz w:val="24"/>
          <w:szCs w:val="24"/>
        </w:rPr>
        <w:t>2.6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%) patients </w:t>
      </w:r>
      <w:r w:rsidR="008D7646" w:rsidRPr="00DE1A9B">
        <w:rPr>
          <w:rFonts w:asciiTheme="majorHAnsi" w:hAnsiTheme="majorHAnsi" w:cstheme="minorHAnsi"/>
          <w:sz w:val="24"/>
          <w:szCs w:val="24"/>
        </w:rPr>
        <w:t>which</w:t>
      </w:r>
      <w:r w:rsidR="001C1A0B" w:rsidRPr="00DE1A9B">
        <w:rPr>
          <w:rFonts w:asciiTheme="majorHAnsi" w:hAnsiTheme="majorHAnsi" w:cstheme="minorHAnsi"/>
          <w:sz w:val="24"/>
          <w:szCs w:val="24"/>
        </w:rPr>
        <w:t xml:space="preserve"> improved later on. </w:t>
      </w:r>
      <w:r w:rsidR="0031097C" w:rsidRPr="00DE1A9B">
        <w:rPr>
          <w:rFonts w:asciiTheme="majorHAnsi" w:hAnsiTheme="majorHAnsi" w:cstheme="minorHAnsi"/>
          <w:sz w:val="24"/>
          <w:szCs w:val="24"/>
        </w:rPr>
        <w:t>Steroid therapy</w:t>
      </w:r>
      <w:r w:rsidR="007504C1" w:rsidRPr="00DE1A9B">
        <w:rPr>
          <w:rFonts w:asciiTheme="majorHAnsi" w:hAnsiTheme="majorHAnsi" w:cstheme="minorHAnsi"/>
          <w:sz w:val="24"/>
          <w:szCs w:val="24"/>
        </w:rPr>
        <w:t xml:space="preserve"> </w:t>
      </w:r>
      <w:r w:rsidR="0031097C" w:rsidRPr="00DE1A9B">
        <w:rPr>
          <w:rFonts w:asciiTheme="majorHAnsi" w:hAnsiTheme="majorHAnsi" w:cstheme="minorHAnsi"/>
          <w:sz w:val="24"/>
          <w:szCs w:val="24"/>
        </w:rPr>
        <w:t xml:space="preserve">was given to all patients, </w:t>
      </w:r>
      <w:r w:rsidR="007D4FD8" w:rsidRPr="00DE1A9B">
        <w:rPr>
          <w:rFonts w:asciiTheme="majorHAnsi" w:hAnsiTheme="majorHAnsi" w:cstheme="minorHAnsi"/>
          <w:sz w:val="24"/>
          <w:szCs w:val="24"/>
        </w:rPr>
        <w:t>of whom,</w:t>
      </w:r>
      <w:r w:rsidR="0031097C" w:rsidRPr="00DE1A9B">
        <w:rPr>
          <w:rFonts w:asciiTheme="majorHAnsi" w:hAnsiTheme="majorHAnsi" w:cstheme="minorHAnsi"/>
          <w:sz w:val="24"/>
          <w:szCs w:val="24"/>
        </w:rPr>
        <w:t xml:space="preserve"> </w:t>
      </w:r>
      <w:r w:rsidR="00602603" w:rsidRPr="00DE1A9B">
        <w:rPr>
          <w:rFonts w:asciiTheme="majorHAnsi" w:hAnsiTheme="majorHAnsi" w:cstheme="minorHAnsi"/>
          <w:sz w:val="24"/>
          <w:szCs w:val="24"/>
        </w:rPr>
        <w:t xml:space="preserve">61 </w:t>
      </w:r>
      <w:r w:rsidR="0031097C" w:rsidRPr="00DE1A9B">
        <w:rPr>
          <w:rFonts w:asciiTheme="majorHAnsi" w:hAnsiTheme="majorHAnsi" w:cstheme="minorHAnsi"/>
          <w:sz w:val="24"/>
          <w:szCs w:val="24"/>
        </w:rPr>
        <w:t>(</w:t>
      </w:r>
      <w:r w:rsidR="00602603" w:rsidRPr="00DE1A9B">
        <w:rPr>
          <w:rFonts w:asciiTheme="majorHAnsi" w:hAnsiTheme="majorHAnsi" w:cstheme="minorHAnsi"/>
          <w:sz w:val="24"/>
          <w:szCs w:val="24"/>
        </w:rPr>
        <w:t>79.2</w:t>
      </w:r>
      <w:r w:rsidR="0031097C" w:rsidRPr="00DE1A9B">
        <w:rPr>
          <w:rFonts w:asciiTheme="majorHAnsi" w:hAnsiTheme="majorHAnsi" w:cstheme="minorHAnsi"/>
          <w:sz w:val="24"/>
          <w:szCs w:val="24"/>
        </w:rPr>
        <w:t xml:space="preserve">%) </w:t>
      </w:r>
      <w:r w:rsidR="00EA7B39" w:rsidRPr="00DE1A9B">
        <w:rPr>
          <w:rFonts w:asciiTheme="majorHAnsi" w:hAnsiTheme="majorHAnsi" w:cstheme="minorHAnsi"/>
          <w:sz w:val="24"/>
          <w:szCs w:val="24"/>
        </w:rPr>
        <w:t xml:space="preserve">achieved remission and </w:t>
      </w:r>
      <w:r w:rsidR="00602603" w:rsidRPr="00DE1A9B">
        <w:rPr>
          <w:rFonts w:asciiTheme="majorHAnsi" w:hAnsiTheme="majorHAnsi" w:cstheme="minorHAnsi"/>
          <w:sz w:val="24"/>
          <w:szCs w:val="24"/>
        </w:rPr>
        <w:t xml:space="preserve">16 </w:t>
      </w:r>
      <w:r w:rsidR="00EA7B39" w:rsidRPr="00DE1A9B">
        <w:rPr>
          <w:rFonts w:asciiTheme="majorHAnsi" w:hAnsiTheme="majorHAnsi" w:cstheme="minorHAnsi"/>
          <w:sz w:val="24"/>
          <w:szCs w:val="24"/>
        </w:rPr>
        <w:t>(</w:t>
      </w:r>
      <w:r w:rsidR="00602603" w:rsidRPr="00DE1A9B">
        <w:rPr>
          <w:rFonts w:asciiTheme="majorHAnsi" w:hAnsiTheme="majorHAnsi" w:cstheme="minorHAnsi"/>
          <w:sz w:val="24"/>
          <w:szCs w:val="24"/>
        </w:rPr>
        <w:t>20.8</w:t>
      </w:r>
      <w:r w:rsidR="00EA7B39" w:rsidRPr="00DE1A9B">
        <w:rPr>
          <w:rFonts w:asciiTheme="majorHAnsi" w:hAnsiTheme="majorHAnsi" w:cstheme="minorHAnsi"/>
          <w:sz w:val="24"/>
          <w:szCs w:val="24"/>
        </w:rPr>
        <w:t>%)</w:t>
      </w:r>
      <w:r w:rsidR="007D4FD8" w:rsidRPr="00DE1A9B">
        <w:rPr>
          <w:rFonts w:asciiTheme="majorHAnsi" w:hAnsiTheme="majorHAnsi" w:cstheme="minorHAnsi"/>
          <w:sz w:val="24"/>
          <w:szCs w:val="24"/>
        </w:rPr>
        <w:t xml:space="preserve"> </w:t>
      </w:r>
      <w:r w:rsidR="00EA7B39" w:rsidRPr="00DE1A9B">
        <w:rPr>
          <w:rFonts w:asciiTheme="majorHAnsi" w:hAnsiTheme="majorHAnsi" w:cstheme="minorHAnsi"/>
          <w:sz w:val="24"/>
          <w:szCs w:val="24"/>
        </w:rPr>
        <w:t>were steroid resistant</w:t>
      </w:r>
      <w:r w:rsidR="00793466" w:rsidRPr="00DE1A9B">
        <w:rPr>
          <w:rFonts w:asciiTheme="majorHAnsi" w:hAnsiTheme="majorHAnsi" w:cstheme="minorHAnsi"/>
          <w:sz w:val="24"/>
          <w:szCs w:val="24"/>
        </w:rPr>
        <w:t xml:space="preserve"> </w:t>
      </w:r>
      <w:r w:rsidR="007D4FD8" w:rsidRPr="00DE1A9B">
        <w:rPr>
          <w:rFonts w:asciiTheme="majorHAnsi" w:hAnsiTheme="majorHAnsi" w:cstheme="minorHAnsi"/>
          <w:sz w:val="24"/>
          <w:szCs w:val="24"/>
        </w:rPr>
        <w:t>(</w:t>
      </w:r>
      <w:r w:rsidR="00793466" w:rsidRPr="00DE1A9B">
        <w:rPr>
          <w:rFonts w:asciiTheme="majorHAnsi" w:hAnsiTheme="majorHAnsi" w:cstheme="minorHAnsi"/>
          <w:sz w:val="24"/>
          <w:szCs w:val="24"/>
        </w:rPr>
        <w:t>table 1)</w:t>
      </w:r>
      <w:r w:rsidR="0031097C" w:rsidRPr="00DE1A9B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9607FE" w:rsidRPr="00DE1A9B" w:rsidRDefault="009607FE" w:rsidP="00DC3612">
      <w:pPr>
        <w:bidi w:val="0"/>
        <w:spacing w:before="240" w:after="80" w:line="240" w:lineRule="auto"/>
        <w:jc w:val="both"/>
        <w:rPr>
          <w:rFonts w:asciiTheme="majorHAnsi" w:hAnsiTheme="majorHAnsi" w:cstheme="majorBidi"/>
          <w:color w:val="000000"/>
          <w:sz w:val="24"/>
          <w:szCs w:val="24"/>
        </w:rPr>
      </w:pPr>
      <w:r w:rsidRPr="00DE1A9B">
        <w:rPr>
          <w:rFonts w:asciiTheme="majorHAnsi" w:hAnsiTheme="majorHAnsi" w:cstheme="majorBidi"/>
          <w:b/>
          <w:bCs/>
          <w:color w:val="000000"/>
          <w:sz w:val="24"/>
          <w:szCs w:val="24"/>
        </w:rPr>
        <w:t xml:space="preserve">Table (1): </w:t>
      </w:r>
      <w:r w:rsidR="00CB0CA0" w:rsidRPr="00DE1A9B">
        <w:rPr>
          <w:rFonts w:asciiTheme="majorHAnsi" w:hAnsiTheme="majorHAnsi" w:cstheme="majorBidi"/>
          <w:color w:val="000000"/>
          <w:sz w:val="24"/>
          <w:szCs w:val="24"/>
        </w:rPr>
        <w:t>Steroid response pattern and its relation to</w:t>
      </w:r>
      <w:r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 </w:t>
      </w:r>
      <w:r w:rsidR="00D21529"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age, sex, initial hematuria and </w:t>
      </w:r>
      <w:r w:rsidR="00B53C87"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initial </w:t>
      </w:r>
      <w:r w:rsidR="00D21529" w:rsidRPr="00DE1A9B">
        <w:rPr>
          <w:rFonts w:asciiTheme="majorHAnsi" w:hAnsiTheme="majorHAnsi" w:cstheme="majorBidi"/>
          <w:color w:val="000000"/>
          <w:sz w:val="24"/>
          <w:szCs w:val="24"/>
        </w:rPr>
        <w:t>hypertension</w:t>
      </w:r>
      <w:r w:rsidR="00E67ABB"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 in studied patients</w:t>
      </w:r>
      <w:r w:rsidR="00D21529"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 </w:t>
      </w:r>
      <w:r w:rsidRPr="00DE1A9B">
        <w:rPr>
          <w:rFonts w:asciiTheme="majorHAnsi" w:hAnsiTheme="majorHAnsi" w:cstheme="majorBidi"/>
          <w:color w:val="000000"/>
          <w:sz w:val="24"/>
          <w:szCs w:val="24"/>
        </w:rPr>
        <w:t xml:space="preserve"> </w:t>
      </w:r>
    </w:p>
    <w:tbl>
      <w:tblPr>
        <w:tblStyle w:val="LightList-Accent11"/>
        <w:tblW w:w="5000" w:type="pct"/>
        <w:tblLook w:val="04A0"/>
      </w:tblPr>
      <w:tblGrid>
        <w:gridCol w:w="1771"/>
        <w:gridCol w:w="806"/>
        <w:gridCol w:w="1309"/>
        <w:gridCol w:w="804"/>
        <w:gridCol w:w="1306"/>
        <w:gridCol w:w="1072"/>
        <w:gridCol w:w="556"/>
        <w:gridCol w:w="898"/>
      </w:tblGrid>
      <w:tr w:rsidR="00880421" w:rsidRPr="00633847" w:rsidTr="00D04531">
        <w:trPr>
          <w:cnfStyle w:val="100000000000"/>
        </w:trPr>
        <w:tc>
          <w:tcPr>
            <w:cnfStyle w:val="001000000000"/>
            <w:tcW w:w="1039" w:type="pct"/>
            <w:shd w:val="clear" w:color="auto" w:fill="D9D9D9" w:themeFill="background1" w:themeFillShade="D9"/>
            <w:vAlign w:val="center"/>
          </w:tcPr>
          <w:p w:rsidR="00880421" w:rsidRPr="00B212D0" w:rsidRDefault="00880421" w:rsidP="007F3551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79" w:type="pct"/>
            <w:gridSpan w:val="4"/>
            <w:shd w:val="clear" w:color="auto" w:fill="D9D9D9" w:themeFill="background1" w:themeFillShade="D9"/>
            <w:vAlign w:val="center"/>
          </w:tcPr>
          <w:p w:rsidR="00880421" w:rsidRPr="00B212D0" w:rsidRDefault="00880421" w:rsidP="007F3551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HAnsi" w:hAnsiTheme="majorHAnsi" w:cs="Goudy"/>
                <w:color w:val="000000"/>
                <w:sz w:val="24"/>
                <w:szCs w:val="24"/>
              </w:rPr>
            </w:pPr>
            <w:r w:rsidRPr="00B212D0">
              <w:rPr>
                <w:rFonts w:asciiTheme="majorHAnsi" w:hAnsiTheme="majorHAnsi" w:cs="Goudy"/>
                <w:color w:val="000000"/>
                <w:sz w:val="24"/>
                <w:szCs w:val="24"/>
              </w:rPr>
              <w:t>Steroid response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880421" w:rsidRPr="00B212D0" w:rsidRDefault="00880421" w:rsidP="007F3551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gridSpan w:val="2"/>
            <w:shd w:val="clear" w:color="auto" w:fill="D9D9D9" w:themeFill="background1" w:themeFillShade="D9"/>
            <w:vAlign w:val="center"/>
          </w:tcPr>
          <w:p w:rsidR="00880421" w:rsidRPr="00B212D0" w:rsidRDefault="00880421" w:rsidP="007F3551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452C3" w:rsidRPr="00633847" w:rsidTr="00D04531">
        <w:trPr>
          <w:cnfStyle w:val="000000100000"/>
        </w:trPr>
        <w:tc>
          <w:tcPr>
            <w:cnfStyle w:val="001000000000"/>
            <w:tcW w:w="1039" w:type="pct"/>
          </w:tcPr>
          <w:p w:rsidR="00FD7F43" w:rsidRPr="00B212D0" w:rsidRDefault="00FD7F43" w:rsidP="00525DC3">
            <w:pPr>
              <w:autoSpaceDE w:val="0"/>
              <w:autoSpaceDN w:val="0"/>
              <w:bidi w:val="0"/>
              <w:adjustRightInd w:val="0"/>
              <w:spacing w:before="120" w:line="360" w:lineRule="auto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  <w:gridSpan w:val="2"/>
          </w:tcPr>
          <w:p w:rsidR="00FD7F43" w:rsidRPr="00B212D0" w:rsidRDefault="00FD7F43" w:rsidP="00525DC3">
            <w:pPr>
              <w:autoSpaceDE w:val="0"/>
              <w:autoSpaceDN w:val="0"/>
              <w:bidi w:val="0"/>
              <w:adjustRightInd w:val="0"/>
              <w:spacing w:before="120" w:line="360" w:lineRule="auto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</w:rPr>
              <w:t>Steroid sensitive</w:t>
            </w:r>
          </w:p>
        </w:tc>
        <w:tc>
          <w:tcPr>
            <w:tcW w:w="1238" w:type="pct"/>
            <w:gridSpan w:val="2"/>
          </w:tcPr>
          <w:p w:rsidR="00FD7F43" w:rsidRPr="00B212D0" w:rsidRDefault="00FD7F43" w:rsidP="00525DC3">
            <w:pPr>
              <w:autoSpaceDE w:val="0"/>
              <w:autoSpaceDN w:val="0"/>
              <w:bidi w:val="0"/>
              <w:adjustRightInd w:val="0"/>
              <w:spacing w:before="120" w:line="360" w:lineRule="auto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</w:rPr>
              <w:t>Steroid resistant</w:t>
            </w:r>
          </w:p>
        </w:tc>
        <w:tc>
          <w:tcPr>
            <w:tcW w:w="629" w:type="pct"/>
          </w:tcPr>
          <w:p w:rsidR="00FD7F43" w:rsidRPr="00B212D0" w:rsidRDefault="00A452C3" w:rsidP="00525DC3">
            <w:pPr>
              <w:autoSpaceDE w:val="0"/>
              <w:autoSpaceDN w:val="0"/>
              <w:bidi w:val="0"/>
              <w:adjustRightInd w:val="0"/>
              <w:spacing w:before="120" w:line="360" w:lineRule="auto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</w:rPr>
              <w:t>P-value</w:t>
            </w:r>
          </w:p>
        </w:tc>
        <w:tc>
          <w:tcPr>
            <w:tcW w:w="853" w:type="pct"/>
            <w:gridSpan w:val="2"/>
          </w:tcPr>
          <w:p w:rsidR="00FD7F43" w:rsidRPr="00B212D0" w:rsidRDefault="00FD7F43" w:rsidP="00525DC3">
            <w:pPr>
              <w:autoSpaceDE w:val="0"/>
              <w:autoSpaceDN w:val="0"/>
              <w:bidi w:val="0"/>
              <w:adjustRightInd w:val="0"/>
              <w:spacing w:before="120" w:line="360" w:lineRule="auto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</w:rPr>
              <w:t>Total</w:t>
            </w:r>
          </w:p>
        </w:tc>
      </w:tr>
      <w:tr w:rsidR="00A452C3" w:rsidRPr="00633847" w:rsidTr="00FF7DD1">
        <w:trPr>
          <w:trHeight w:val="413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4"/>
                <w:szCs w:val="24"/>
              </w:rPr>
            </w:pPr>
            <w:r w:rsidRPr="00B212D0">
              <w:rPr>
                <w:rFonts w:asciiTheme="majorHAnsi" w:hAnsiTheme="majorHAnsi" w:cs="Goudy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29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414CFE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452C3" w:rsidRPr="00633847" w:rsidTr="001B3065">
        <w:trPr>
          <w:cnfStyle w:val="000000100000"/>
          <w:trHeight w:val="405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B5759B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B5759B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B5759B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79.2%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944DEA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944DEA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629" w:type="pct"/>
            <w:vAlign w:val="center"/>
          </w:tcPr>
          <w:p w:rsidR="00FD7F43" w:rsidRPr="00B212D0" w:rsidRDefault="00FD7F43" w:rsidP="00944DEA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D7F43" w:rsidRPr="00B212D0" w:rsidRDefault="00FD7F43" w:rsidP="00944DEA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944DEA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100%</w:t>
            </w:r>
          </w:p>
        </w:tc>
      </w:tr>
      <w:tr w:rsidR="00A452C3" w:rsidRPr="00633847" w:rsidTr="00D04531">
        <w:trPr>
          <w:trHeight w:val="499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Age groups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1-6 years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6-12 years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12-15 year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41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19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1537F5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74.5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1537F5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100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1537F5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33.</w:t>
            </w:r>
            <w:r w:rsidR="00456B15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14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1537F5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25.</w:t>
            </w:r>
            <w:r w:rsidR="00B12785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5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  <w:p w:rsidR="00FD7F43" w:rsidRPr="00B212D0" w:rsidRDefault="001537F5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66.</w:t>
            </w:r>
            <w:r w:rsidR="00456B15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9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55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19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71.4%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24.</w:t>
            </w:r>
            <w:r w:rsidR="00876DF2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</w:t>
            </w: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876DF2" w:rsidP="00747503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3.9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</w:tr>
      <w:tr w:rsidR="00A452C3" w:rsidRPr="00633847" w:rsidTr="001F701C">
        <w:trPr>
          <w:cnfStyle w:val="000000100000"/>
          <w:trHeight w:val="499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Sex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 xml:space="preserve">      </w:t>
            </w:r>
            <w:r w:rsidRPr="00B212D0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>Males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Females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37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F30DF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78.7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FF30DF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80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10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F30DF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21.3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FD7F43" w:rsidRPr="00B212D0" w:rsidRDefault="00FF30DF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20</w:t>
            </w:r>
            <w:r w:rsidR="00FD7F43"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629" w:type="pct"/>
          </w:tcPr>
          <w:p w:rsidR="00FD7F43" w:rsidRPr="00B212D0" w:rsidRDefault="002A2C0E" w:rsidP="009F5F4C">
            <w:pPr>
              <w:autoSpaceDE w:val="0"/>
              <w:autoSpaceDN w:val="0"/>
              <w:bidi w:val="0"/>
              <w:adjustRightInd w:val="0"/>
              <w:spacing w:before="8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326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47</w:t>
            </w: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FD7F43" w:rsidRPr="00B212D0" w:rsidRDefault="00FD7F43" w:rsidP="00747503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61%</w:t>
            </w:r>
          </w:p>
          <w:p w:rsidR="00FD7F43" w:rsidRPr="00B212D0" w:rsidRDefault="00FD7F43" w:rsidP="00027805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39%</w:t>
            </w:r>
          </w:p>
        </w:tc>
      </w:tr>
      <w:tr w:rsidR="00A452C3" w:rsidRPr="00633847" w:rsidTr="001B3CDE">
        <w:trPr>
          <w:trHeight w:val="375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Hematuria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19.7%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629" w:type="pct"/>
            <w:vAlign w:val="center"/>
          </w:tcPr>
          <w:p w:rsidR="00FD7F43" w:rsidRPr="00B212D0" w:rsidRDefault="00DC40C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326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1B3CDE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26%</w:t>
            </w:r>
          </w:p>
        </w:tc>
      </w:tr>
      <w:tr w:rsidR="00A452C3" w:rsidRPr="00633847" w:rsidTr="00D04531">
        <w:trPr>
          <w:cnfStyle w:val="000000100000"/>
        </w:trPr>
        <w:tc>
          <w:tcPr>
            <w:cnfStyle w:val="001000000000"/>
            <w:tcW w:w="1039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473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8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472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6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56.2%</w:t>
            </w:r>
          </w:p>
        </w:tc>
        <w:tc>
          <w:tcPr>
            <w:tcW w:w="629" w:type="pct"/>
            <w:vAlign w:val="center"/>
          </w:tcPr>
          <w:p w:rsidR="00FD7F43" w:rsidRPr="00B212D0" w:rsidRDefault="00DC40C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326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7" w:type="pct"/>
            <w:vAlign w:val="center"/>
          </w:tcPr>
          <w:p w:rsidR="00FD7F43" w:rsidRPr="00B212D0" w:rsidRDefault="00FD7F43" w:rsidP="002A030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B212D0">
              <w:rPr>
                <w:rFonts w:asciiTheme="majorHAnsi" w:hAnsiTheme="majorHAnsi" w:cs="Goudy"/>
                <w:color w:val="000000"/>
                <w:sz w:val="20"/>
                <w:szCs w:val="20"/>
              </w:rPr>
              <w:t>18.2%</w:t>
            </w:r>
          </w:p>
        </w:tc>
      </w:tr>
    </w:tbl>
    <w:p w:rsidR="0032414D" w:rsidRDefault="00D04531" w:rsidP="0032414D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E1A9B">
        <w:rPr>
          <w:rFonts w:asciiTheme="majorHAnsi" w:hAnsiTheme="majorHAnsi" w:cstheme="minorHAnsi"/>
          <w:sz w:val="24"/>
          <w:szCs w:val="24"/>
        </w:rPr>
        <w:t xml:space="preserve">Out of 61 steroid sensitive patients, 5 (8.2%) had no or only one relapse, 21 (34.4%) had infrequently relapsing nephrotic syndrome (IRNS), 27 (44.3%) developed SDNS, 6 (9.8%) developed FRNS and 2 (3.3%) developed late SRNS. </w:t>
      </w:r>
    </w:p>
    <w:p w:rsidR="00D04531" w:rsidRPr="00DE1A9B" w:rsidRDefault="00E11B53" w:rsidP="0032414D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ajorBid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R</w:t>
      </w:r>
      <w:r w:rsidR="00D04531" w:rsidRPr="00DE1A9B">
        <w:rPr>
          <w:rFonts w:asciiTheme="majorHAnsi" w:hAnsiTheme="majorHAnsi" w:cstheme="minorHAnsi"/>
          <w:sz w:val="24"/>
          <w:szCs w:val="24"/>
        </w:rPr>
        <w:t xml:space="preserve">enal biopsy was done in 26 (33.8%) patients. The indications for biopsy were:  initial SRNS in 14 (53.8%) patients, SDNS and FRNS before CsA use in 4 (15.4%), late SRNS in 2 (7.7%) and initial atypical presentation in 6 (23.1%) patients. The </w:t>
      </w:r>
      <w:r w:rsidR="00D04531" w:rsidRPr="00DE1A9B">
        <w:rPr>
          <w:rFonts w:asciiTheme="majorHAnsi" w:hAnsiTheme="majorHAnsi" w:cstheme="minorHAnsi"/>
          <w:sz w:val="24"/>
          <w:szCs w:val="24"/>
        </w:rPr>
        <w:lastRenderedPageBreak/>
        <w:t>main histopathological type was FSGS (figure 1). The relations of hi</w:t>
      </w:r>
      <w:r w:rsidR="00933A20">
        <w:rPr>
          <w:rFonts w:asciiTheme="majorHAnsi" w:hAnsiTheme="majorHAnsi" w:cstheme="minorHAnsi"/>
          <w:sz w:val="24"/>
          <w:szCs w:val="24"/>
        </w:rPr>
        <w:t xml:space="preserve">stopathology with the patients' </w:t>
      </w:r>
      <w:r w:rsidR="00D04531" w:rsidRPr="00DE1A9B">
        <w:rPr>
          <w:rFonts w:asciiTheme="majorHAnsi" w:hAnsiTheme="majorHAnsi" w:cstheme="minorHAnsi"/>
          <w:sz w:val="24"/>
          <w:szCs w:val="24"/>
        </w:rPr>
        <w:t>clinical profile and steroid response are shown in table (2).</w:t>
      </w:r>
    </w:p>
    <w:p w:rsidR="00F7418C" w:rsidRDefault="00603BB0" w:rsidP="004F2D40">
      <w:pPr>
        <w:autoSpaceDE w:val="0"/>
        <w:autoSpaceDN w:val="0"/>
        <w:bidi w:val="0"/>
        <w:adjustRightInd w:val="0"/>
        <w:spacing w:before="360" w:after="120" w:line="240" w:lineRule="auto"/>
        <w:jc w:val="both"/>
        <w:rPr>
          <w:rFonts w:asciiTheme="majorHAnsi" w:hAnsiTheme="majorHAnsi" w:cstheme="majorBidi"/>
          <w:b/>
          <w:bCs/>
          <w:color w:val="000000"/>
          <w:sz w:val="24"/>
          <w:szCs w:val="24"/>
        </w:rPr>
      </w:pPr>
      <w:r w:rsidRPr="00C41235">
        <w:rPr>
          <w:rFonts w:asciiTheme="majorHAnsi" w:hAnsiTheme="majorHAnsi" w:cstheme="minorHAnsi"/>
          <w:noProof/>
          <w:sz w:val="28"/>
          <w:szCs w:val="28"/>
        </w:rPr>
        <w:drawing>
          <wp:inline distT="0" distB="0" distL="0" distR="0">
            <wp:extent cx="5242365" cy="2150348"/>
            <wp:effectExtent l="19050" t="0" r="15435" b="2302"/>
            <wp:docPr id="2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3BB0" w:rsidRPr="00D10792" w:rsidRDefault="00603BB0" w:rsidP="004F2D40">
      <w:pPr>
        <w:autoSpaceDE w:val="0"/>
        <w:autoSpaceDN w:val="0"/>
        <w:bidi w:val="0"/>
        <w:adjustRightInd w:val="0"/>
        <w:spacing w:before="80" w:after="12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061A6F">
        <w:rPr>
          <w:rFonts w:asciiTheme="majorHAnsi" w:hAnsiTheme="majorHAnsi" w:cstheme="majorBidi"/>
          <w:b/>
          <w:bCs/>
          <w:color w:val="000000"/>
        </w:rPr>
        <w:t xml:space="preserve">Figure (1): </w:t>
      </w:r>
      <w:r w:rsidRPr="00061A6F">
        <w:rPr>
          <w:rFonts w:asciiTheme="majorHAnsi" w:hAnsiTheme="majorHAnsi" w:cstheme="majorBidi"/>
          <w:color w:val="000000"/>
        </w:rPr>
        <w:t xml:space="preserve">Histopathological spectrum of biopsied patients </w:t>
      </w:r>
      <w:r w:rsidRPr="00D10792">
        <w:rPr>
          <w:rFonts w:asciiTheme="majorHAnsi" w:hAnsiTheme="majorHAnsi" w:cstheme="majorBidi"/>
          <w:b/>
          <w:bCs/>
          <w:sz w:val="20"/>
          <w:szCs w:val="20"/>
        </w:rPr>
        <w:t>(FSGS</w:t>
      </w:r>
      <w:r w:rsidRPr="00D10792">
        <w:rPr>
          <w:rFonts w:asciiTheme="majorHAnsi" w:hAnsiTheme="majorHAnsi" w:cstheme="majorBidi"/>
          <w:sz w:val="20"/>
          <w:szCs w:val="20"/>
        </w:rPr>
        <w:t>, focal segmental glomerulosclerosis;</w:t>
      </w:r>
      <w:r w:rsidRPr="00D10792">
        <w:rPr>
          <w:rFonts w:asciiTheme="majorHAnsi" w:hAnsiTheme="majorHAnsi" w:cstheme="majorBidi"/>
          <w:b/>
          <w:bCs/>
          <w:sz w:val="20"/>
          <w:szCs w:val="20"/>
        </w:rPr>
        <w:t xml:space="preserve"> MCD</w:t>
      </w:r>
      <w:r w:rsidRPr="00D10792">
        <w:rPr>
          <w:rFonts w:asciiTheme="majorHAnsi" w:hAnsiTheme="majorHAnsi" w:cstheme="majorBidi"/>
          <w:sz w:val="20"/>
          <w:szCs w:val="20"/>
        </w:rPr>
        <w:t>, minimal change disease;</w:t>
      </w:r>
      <w:r w:rsidRPr="00D10792">
        <w:rPr>
          <w:rFonts w:asciiTheme="majorHAnsi" w:hAnsiTheme="majorHAnsi" w:cstheme="majorBidi"/>
          <w:b/>
          <w:bCs/>
          <w:sz w:val="20"/>
          <w:szCs w:val="20"/>
        </w:rPr>
        <w:t xml:space="preserve"> MesPGN</w:t>
      </w:r>
      <w:r w:rsidR="003013D6">
        <w:rPr>
          <w:rFonts w:asciiTheme="majorHAnsi" w:hAnsiTheme="majorHAnsi" w:cstheme="majorBidi"/>
          <w:sz w:val="20"/>
          <w:szCs w:val="20"/>
        </w:rPr>
        <w:t>, mesangio</w:t>
      </w:r>
      <w:r w:rsidRPr="00D10792">
        <w:rPr>
          <w:rFonts w:asciiTheme="majorHAnsi" w:hAnsiTheme="majorHAnsi" w:cstheme="majorBidi"/>
          <w:sz w:val="20"/>
          <w:szCs w:val="20"/>
        </w:rPr>
        <w:t>proliferative glomerulonephritis</w:t>
      </w:r>
      <w:r w:rsidRPr="00D10792">
        <w:rPr>
          <w:rFonts w:asciiTheme="majorHAnsi" w:hAnsiTheme="majorHAnsi" w:cstheme="minorHAnsi"/>
          <w:b/>
          <w:bCs/>
          <w:sz w:val="20"/>
          <w:szCs w:val="20"/>
        </w:rPr>
        <w:t>)</w:t>
      </w:r>
    </w:p>
    <w:p w:rsidR="00AC4661" w:rsidRPr="00D43B3F" w:rsidRDefault="00AC4661" w:rsidP="00AC4661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ajorBidi"/>
          <w:b/>
          <w:bCs/>
          <w:color w:val="000000"/>
          <w:sz w:val="24"/>
          <w:szCs w:val="24"/>
        </w:rPr>
      </w:pPr>
      <w:r w:rsidRPr="00D43B3F">
        <w:rPr>
          <w:rFonts w:asciiTheme="majorHAnsi" w:hAnsiTheme="majorHAnsi" w:cstheme="minorHAnsi"/>
          <w:sz w:val="24"/>
          <w:szCs w:val="24"/>
        </w:rPr>
        <w:t>By the end of the study, persistent proteinuria (</w:t>
      </w:r>
      <w:r>
        <w:rPr>
          <w:rFonts w:asciiTheme="majorHAnsi" w:hAnsiTheme="majorHAnsi" w:cstheme="minorHAnsi"/>
          <w:sz w:val="24"/>
          <w:szCs w:val="24"/>
        </w:rPr>
        <w:t>n</w:t>
      </w:r>
      <w:r w:rsidRPr="00D43B3F">
        <w:rPr>
          <w:rFonts w:asciiTheme="majorHAnsi" w:hAnsiTheme="majorHAnsi" w:cstheme="minorHAnsi"/>
          <w:sz w:val="24"/>
          <w:szCs w:val="24"/>
        </w:rPr>
        <w:t>o or partial remission) was present in 10 (13%) patients (7 with FSGS and 3 with MCD). One (1.3%) patient with FSGS and multi</w:t>
      </w:r>
      <w:r>
        <w:rPr>
          <w:rFonts w:asciiTheme="majorHAnsi" w:hAnsiTheme="majorHAnsi" w:cstheme="minorHAnsi"/>
          <w:sz w:val="24"/>
          <w:szCs w:val="24"/>
        </w:rPr>
        <w:t>-</w:t>
      </w:r>
      <w:r w:rsidRPr="00D43B3F">
        <w:rPr>
          <w:rFonts w:asciiTheme="majorHAnsi" w:hAnsiTheme="majorHAnsi" w:cstheme="minorHAnsi"/>
          <w:sz w:val="24"/>
          <w:szCs w:val="24"/>
        </w:rPr>
        <w:t xml:space="preserve">drug resistance developed ESRD. </w:t>
      </w:r>
      <w:r>
        <w:rPr>
          <w:rFonts w:asciiTheme="majorHAnsi" w:hAnsiTheme="majorHAnsi" w:cstheme="minorHAnsi"/>
          <w:sz w:val="24"/>
          <w:szCs w:val="24"/>
        </w:rPr>
        <w:t>Death occurred in 2</w:t>
      </w:r>
      <w:r w:rsidRPr="00D43B3F">
        <w:rPr>
          <w:rFonts w:asciiTheme="majorHAnsi" w:hAnsiTheme="majorHAnsi" w:cstheme="minorHAnsi"/>
          <w:sz w:val="24"/>
          <w:szCs w:val="24"/>
        </w:rPr>
        <w:t xml:space="preserve"> (2.6%) patients </w:t>
      </w:r>
      <w:r>
        <w:rPr>
          <w:rFonts w:asciiTheme="majorHAnsi" w:hAnsiTheme="majorHAnsi" w:cstheme="minorHAnsi"/>
          <w:sz w:val="24"/>
          <w:szCs w:val="24"/>
        </w:rPr>
        <w:t>(</w:t>
      </w:r>
      <w:r w:rsidRPr="00D43B3F">
        <w:rPr>
          <w:rFonts w:asciiTheme="majorHAnsi" w:hAnsiTheme="majorHAnsi" w:cstheme="minorHAnsi"/>
          <w:sz w:val="24"/>
          <w:szCs w:val="24"/>
        </w:rPr>
        <w:t xml:space="preserve">one with MCD and </w:t>
      </w:r>
      <w:r>
        <w:rPr>
          <w:rFonts w:asciiTheme="majorHAnsi" w:hAnsiTheme="majorHAnsi" w:cstheme="minorHAnsi"/>
          <w:sz w:val="24"/>
          <w:szCs w:val="24"/>
        </w:rPr>
        <w:t>the other with</w:t>
      </w:r>
      <w:r w:rsidRPr="00D43B3F">
        <w:rPr>
          <w:rFonts w:asciiTheme="majorHAnsi" w:hAnsiTheme="majorHAnsi" w:cstheme="minorHAnsi"/>
          <w:sz w:val="24"/>
          <w:szCs w:val="24"/>
        </w:rPr>
        <w:t xml:space="preserve"> FSGS</w:t>
      </w:r>
      <w:r>
        <w:rPr>
          <w:rFonts w:asciiTheme="majorHAnsi" w:hAnsiTheme="majorHAnsi" w:cstheme="minorHAnsi"/>
          <w:sz w:val="24"/>
          <w:szCs w:val="24"/>
        </w:rPr>
        <w:t>), both were difficult multi-drug resistant cases. The causes of death were sepsis and</w:t>
      </w:r>
      <w:r w:rsidRPr="00D43B3F">
        <w:rPr>
          <w:rFonts w:asciiTheme="majorHAnsi" w:hAnsiTheme="majorHAnsi" w:cstheme="minorHAnsi"/>
          <w:sz w:val="24"/>
          <w:szCs w:val="24"/>
        </w:rPr>
        <w:t xml:space="preserve"> ESRD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AC4875" w:rsidRPr="008F5535" w:rsidRDefault="00AC4875" w:rsidP="00E6158E">
      <w:pPr>
        <w:autoSpaceDE w:val="0"/>
        <w:autoSpaceDN w:val="0"/>
        <w:bidi w:val="0"/>
        <w:adjustRightInd w:val="0"/>
        <w:spacing w:before="360" w:after="80" w:line="240" w:lineRule="auto"/>
        <w:jc w:val="both"/>
        <w:rPr>
          <w:rFonts w:asciiTheme="majorHAnsi" w:hAnsiTheme="majorHAnsi" w:cstheme="majorBidi"/>
          <w:color w:val="000000"/>
        </w:rPr>
      </w:pPr>
      <w:r w:rsidRPr="008F5535">
        <w:rPr>
          <w:rFonts w:asciiTheme="majorHAnsi" w:hAnsiTheme="majorHAnsi" w:cstheme="majorBidi"/>
          <w:b/>
          <w:bCs/>
          <w:color w:val="000000"/>
        </w:rPr>
        <w:t xml:space="preserve">Table (2): </w:t>
      </w:r>
      <w:r w:rsidRPr="008F5535">
        <w:rPr>
          <w:rFonts w:asciiTheme="majorHAnsi" w:hAnsiTheme="majorHAnsi" w:cstheme="majorBidi"/>
          <w:color w:val="000000"/>
        </w:rPr>
        <w:t>Histopatholog</w:t>
      </w:r>
      <w:r w:rsidR="00F30891" w:rsidRPr="008F5535">
        <w:rPr>
          <w:rFonts w:asciiTheme="majorHAnsi" w:hAnsiTheme="majorHAnsi" w:cstheme="majorBidi"/>
          <w:color w:val="000000"/>
        </w:rPr>
        <w:t xml:space="preserve">y </w:t>
      </w:r>
      <w:r w:rsidRPr="008F5535">
        <w:rPr>
          <w:rFonts w:asciiTheme="majorHAnsi" w:hAnsiTheme="majorHAnsi" w:cstheme="majorBidi"/>
          <w:color w:val="000000"/>
        </w:rPr>
        <w:t>in relation to clinical profile</w:t>
      </w:r>
      <w:r w:rsidR="008158F3" w:rsidRPr="008F5535">
        <w:rPr>
          <w:rFonts w:asciiTheme="majorHAnsi" w:hAnsiTheme="majorHAnsi" w:cstheme="majorBidi"/>
          <w:color w:val="000000"/>
        </w:rPr>
        <w:t xml:space="preserve"> and</w:t>
      </w:r>
      <w:r w:rsidRPr="008F5535">
        <w:rPr>
          <w:rFonts w:asciiTheme="majorHAnsi" w:hAnsiTheme="majorHAnsi" w:cstheme="majorBidi"/>
          <w:color w:val="000000"/>
        </w:rPr>
        <w:t xml:space="preserve"> steroid response </w:t>
      </w:r>
    </w:p>
    <w:tbl>
      <w:tblPr>
        <w:tblStyle w:val="LightList-Accent11"/>
        <w:tblW w:w="5000" w:type="pct"/>
        <w:tblLook w:val="04A0"/>
      </w:tblPr>
      <w:tblGrid>
        <w:gridCol w:w="2891"/>
        <w:gridCol w:w="765"/>
        <w:gridCol w:w="1277"/>
        <w:gridCol w:w="535"/>
        <w:gridCol w:w="799"/>
        <w:gridCol w:w="537"/>
        <w:gridCol w:w="803"/>
        <w:gridCol w:w="915"/>
      </w:tblGrid>
      <w:tr w:rsidR="00040757" w:rsidRPr="00CD6E8E" w:rsidTr="009F4E13">
        <w:trPr>
          <w:cnfStyle w:val="100000000000"/>
        </w:trPr>
        <w:tc>
          <w:tcPr>
            <w:cnfStyle w:val="001000000000"/>
            <w:tcW w:w="1696" w:type="pct"/>
            <w:shd w:val="clear" w:color="auto" w:fill="D9D9D9" w:themeFill="background1" w:themeFillShade="D9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spacing w:before="12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</w:tc>
        <w:tc>
          <w:tcPr>
            <w:tcW w:w="2767" w:type="pct"/>
            <w:gridSpan w:val="6"/>
            <w:shd w:val="clear" w:color="auto" w:fill="D9D9D9" w:themeFill="background1" w:themeFillShade="D9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HAnsi" w:hAnsiTheme="majorHAnsi" w:cs="Goudy"/>
                <w:b w:val="0"/>
                <w:bCs w:val="0"/>
                <w:color w:val="000000"/>
                <w:sz w:val="24"/>
                <w:szCs w:val="24"/>
              </w:rPr>
            </w:pPr>
            <w:r w:rsidRPr="00E276A9">
              <w:rPr>
                <w:rFonts w:asciiTheme="majorHAnsi" w:hAnsiTheme="majorHAnsi" w:cs="Goudy"/>
                <w:color w:val="000000"/>
                <w:sz w:val="24"/>
                <w:szCs w:val="24"/>
              </w:rPr>
              <w:t>Histopathology</w:t>
            </w:r>
          </w:p>
        </w:tc>
        <w:tc>
          <w:tcPr>
            <w:tcW w:w="537" w:type="pct"/>
            <w:shd w:val="clear" w:color="auto" w:fill="D9D9D9" w:themeFill="background1" w:themeFillShade="D9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spacing w:before="120"/>
              <w:jc w:val="both"/>
              <w:cnfStyle w:val="10000000000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40757" w:rsidRPr="00CD6E8E" w:rsidTr="009A1F72">
        <w:trPr>
          <w:cnfStyle w:val="000000100000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9A1F72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vAlign w:val="center"/>
          </w:tcPr>
          <w:p w:rsidR="00040757" w:rsidRPr="00E276A9" w:rsidRDefault="00040757" w:rsidP="00CD3B52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</w:rPr>
              <w:t>FSGS</w:t>
            </w:r>
          </w:p>
        </w:tc>
        <w:tc>
          <w:tcPr>
            <w:tcW w:w="783" w:type="pct"/>
            <w:gridSpan w:val="2"/>
            <w:vAlign w:val="center"/>
          </w:tcPr>
          <w:p w:rsidR="00040757" w:rsidRPr="00E276A9" w:rsidRDefault="00040757" w:rsidP="00CD3B52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</w:rPr>
              <w:t>MCD</w:t>
            </w:r>
          </w:p>
        </w:tc>
        <w:tc>
          <w:tcPr>
            <w:tcW w:w="786" w:type="pct"/>
            <w:gridSpan w:val="2"/>
            <w:vAlign w:val="center"/>
          </w:tcPr>
          <w:p w:rsidR="00040757" w:rsidRPr="00E276A9" w:rsidRDefault="00040757" w:rsidP="00CD3B52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</w:rPr>
              <w:t>MesPGN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CD3B52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</w:rPr>
              <w:t>Total</w:t>
            </w:r>
          </w:p>
        </w:tc>
      </w:tr>
      <w:tr w:rsidR="00040757" w:rsidRPr="00CD6E8E" w:rsidTr="001C4472">
        <w:trPr>
          <w:trHeight w:val="329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4"/>
                <w:szCs w:val="24"/>
              </w:rPr>
            </w:pPr>
            <w:r w:rsidRPr="00E276A9">
              <w:rPr>
                <w:rFonts w:asciiTheme="majorHAnsi" w:hAnsiTheme="majorHAnsi" w:cs="Goudy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252A4B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0757" w:rsidRPr="00CD6E8E" w:rsidTr="00DB2021">
        <w:trPr>
          <w:cnfStyle w:val="000000100000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 xml:space="preserve">Frequency 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DB2021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26</w:t>
            </w:r>
          </w:p>
        </w:tc>
      </w:tr>
      <w:tr w:rsidR="00040757" w:rsidRPr="00CD6E8E" w:rsidTr="00FE491C">
        <w:tc>
          <w:tcPr>
            <w:cnfStyle w:val="001000000000"/>
            <w:tcW w:w="1696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Age groups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 xml:space="preserve">      </w:t>
            </w: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>1-6 years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6-12 years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12-15 year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8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C0C8A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  <w:r w:rsidR="00384515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5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6D72F2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16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7C3F86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100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C0C8A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33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6D72F2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  <w:r w:rsidR="00DD16B9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8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384515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22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6D72F2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  <w:r w:rsidR="00DD16B9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18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</w:tr>
      <w:tr w:rsidR="00040757" w:rsidRPr="00CD6E8E" w:rsidTr="00011D5E">
        <w:trPr>
          <w:cnfStyle w:val="000000100000"/>
          <w:trHeight w:val="920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Sex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Males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  Females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5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B42C65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33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7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B42C65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47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B42C65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27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B42C65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20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B42C65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18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</w:p>
          <w:p w:rsidR="00040757" w:rsidRPr="00E276A9" w:rsidRDefault="00040757" w:rsidP="00C94068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15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11</w:t>
            </w:r>
          </w:p>
        </w:tc>
      </w:tr>
      <w:tr w:rsidR="00040757" w:rsidRPr="00CD6E8E" w:rsidTr="00011D5E">
        <w:trPr>
          <w:trHeight w:val="820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 xml:space="preserve">Hematuria 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 xml:space="preserve">    </w:t>
            </w:r>
            <w:r w:rsidR="00135967"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Gross      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 w:rsidR="00135967"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 w:rsidRPr="00E276A9"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  <w:t xml:space="preserve">Microscopic  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7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  <w:p w:rsidR="00040757" w:rsidRPr="00E276A9" w:rsidRDefault="00B50061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9" w:type="pct"/>
            <w:vAlign w:val="center"/>
          </w:tcPr>
          <w:p w:rsidR="00040757" w:rsidRPr="00E276A9" w:rsidRDefault="00B50061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45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9%</w:t>
            </w:r>
          </w:p>
          <w:p w:rsidR="00040757" w:rsidRPr="00E276A9" w:rsidRDefault="00B50061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36</w:t>
            </w:r>
            <w:r w:rsidR="00040757"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40%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80%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20%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15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  <w:p w:rsidR="00040757" w:rsidRPr="00E276A9" w:rsidRDefault="00040757" w:rsidP="003A5345">
            <w:pPr>
              <w:autoSpaceDE w:val="0"/>
              <w:autoSpaceDN w:val="0"/>
              <w:bidi w:val="0"/>
              <w:adjustRightInd w:val="0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13</w:t>
            </w:r>
          </w:p>
        </w:tc>
      </w:tr>
      <w:tr w:rsidR="00040757" w:rsidRPr="00CD6E8E" w:rsidTr="00011D5E">
        <w:trPr>
          <w:cnfStyle w:val="000000100000"/>
          <w:trHeight w:val="407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11</w:t>
            </w:r>
          </w:p>
        </w:tc>
      </w:tr>
      <w:tr w:rsidR="00040757" w:rsidRPr="00CD6E8E" w:rsidTr="00011D5E">
        <w:trPr>
          <w:trHeight w:val="398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Renal impairment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2</w:t>
            </w:r>
          </w:p>
        </w:tc>
      </w:tr>
      <w:tr w:rsidR="00040757" w:rsidRPr="00CD6E8E" w:rsidTr="00011D5E">
        <w:trPr>
          <w:cnfStyle w:val="000000100000"/>
          <w:trHeight w:val="418"/>
        </w:trPr>
        <w:tc>
          <w:tcPr>
            <w:cnfStyle w:val="001000000000"/>
            <w:tcW w:w="1696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Steroid resistance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537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1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16</w:t>
            </w:r>
          </w:p>
        </w:tc>
      </w:tr>
      <w:tr w:rsidR="00040757" w:rsidRPr="00CD6E8E" w:rsidTr="00FE491C">
        <w:tc>
          <w:tcPr>
            <w:cnfStyle w:val="001000000000"/>
            <w:tcW w:w="1696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Persistent proteinuria</w:t>
            </w:r>
          </w:p>
        </w:tc>
        <w:tc>
          <w:tcPr>
            <w:tcW w:w="4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314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315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:rsidR="00040757" w:rsidRPr="00E276A9" w:rsidRDefault="00040757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7" w:type="pct"/>
            <w:vAlign w:val="center"/>
          </w:tcPr>
          <w:p w:rsidR="00040757" w:rsidRPr="00E276A9" w:rsidRDefault="00222FE2" w:rsidP="00FE491C">
            <w:pPr>
              <w:autoSpaceDE w:val="0"/>
              <w:autoSpaceDN w:val="0"/>
              <w:bidi w:val="0"/>
              <w:adjustRightInd w:val="0"/>
              <w:spacing w:line="360" w:lineRule="auto"/>
              <w:jc w:val="center"/>
              <w:cnfStyle w:val="000000000000"/>
              <w:rPr>
                <w:rFonts w:asciiTheme="majorHAnsi" w:hAnsiTheme="majorHAnsi" w:cs="Goudy"/>
                <w:color w:val="000000"/>
                <w:sz w:val="20"/>
                <w:szCs w:val="20"/>
              </w:rPr>
            </w:pPr>
            <w:r w:rsidRPr="00E276A9">
              <w:rPr>
                <w:rFonts w:asciiTheme="majorHAnsi" w:hAnsiTheme="majorHAnsi" w:cs="Goudy"/>
                <w:color w:val="000000"/>
                <w:sz w:val="20"/>
                <w:szCs w:val="20"/>
              </w:rPr>
              <w:t>10</w:t>
            </w:r>
          </w:p>
        </w:tc>
      </w:tr>
    </w:tbl>
    <w:p w:rsidR="00C81130" w:rsidRPr="00D93825" w:rsidRDefault="001D4216" w:rsidP="001D4216">
      <w:pPr>
        <w:autoSpaceDE w:val="0"/>
        <w:autoSpaceDN w:val="0"/>
        <w:bidi w:val="0"/>
        <w:adjustRightInd w:val="0"/>
        <w:spacing w:before="80" w:after="24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D93825">
        <w:rPr>
          <w:rFonts w:asciiTheme="majorHAnsi" w:hAnsiTheme="majorHAnsi" w:cstheme="majorBidi"/>
          <w:b/>
          <w:bCs/>
          <w:sz w:val="20"/>
          <w:szCs w:val="20"/>
        </w:rPr>
        <w:t>FSGS</w:t>
      </w:r>
      <w:r w:rsidRPr="00D93825">
        <w:rPr>
          <w:rFonts w:asciiTheme="majorHAnsi" w:hAnsiTheme="majorHAnsi" w:cstheme="majorBidi"/>
          <w:sz w:val="20"/>
          <w:szCs w:val="20"/>
        </w:rPr>
        <w:t>, focal segmental glomerulosclerosis;</w:t>
      </w:r>
      <w:r w:rsidRPr="00D93825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="00C81130" w:rsidRPr="00D93825">
        <w:rPr>
          <w:rFonts w:asciiTheme="majorHAnsi" w:hAnsiTheme="majorHAnsi" w:cstheme="majorBidi"/>
          <w:b/>
          <w:bCs/>
          <w:sz w:val="20"/>
          <w:szCs w:val="20"/>
        </w:rPr>
        <w:t>MCD</w:t>
      </w:r>
      <w:r w:rsidR="00C81130" w:rsidRPr="00D93825">
        <w:rPr>
          <w:rFonts w:asciiTheme="majorHAnsi" w:hAnsiTheme="majorHAnsi" w:cstheme="majorBidi"/>
          <w:sz w:val="20"/>
          <w:szCs w:val="20"/>
        </w:rPr>
        <w:t>, minimal change disease;</w:t>
      </w:r>
      <w:r w:rsidR="00C81130" w:rsidRPr="00D93825">
        <w:rPr>
          <w:rFonts w:asciiTheme="majorHAnsi" w:hAnsiTheme="majorHAnsi" w:cstheme="majorBidi"/>
          <w:b/>
          <w:bCs/>
          <w:sz w:val="20"/>
          <w:szCs w:val="20"/>
        </w:rPr>
        <w:t xml:space="preserve"> MesPGN</w:t>
      </w:r>
      <w:r w:rsidR="00C81130" w:rsidRPr="00D93825">
        <w:rPr>
          <w:rFonts w:asciiTheme="majorHAnsi" w:hAnsiTheme="majorHAnsi" w:cstheme="majorBidi"/>
          <w:sz w:val="20"/>
          <w:szCs w:val="20"/>
        </w:rPr>
        <w:t>, mesangio-proliferative glomerulonephritis</w:t>
      </w:r>
    </w:p>
    <w:p w:rsidR="0060624F" w:rsidRPr="0040497D" w:rsidRDefault="0060624F" w:rsidP="00774B1B">
      <w:pPr>
        <w:autoSpaceDE w:val="0"/>
        <w:autoSpaceDN w:val="0"/>
        <w:bidi w:val="0"/>
        <w:adjustRightInd w:val="0"/>
        <w:spacing w:before="100" w:beforeAutospacing="1" w:after="80" w:line="240" w:lineRule="auto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40497D">
        <w:rPr>
          <w:rFonts w:asciiTheme="majorHAnsi" w:hAnsiTheme="majorHAnsi" w:cstheme="minorHAnsi"/>
          <w:b/>
          <w:bCs/>
          <w:sz w:val="28"/>
          <w:szCs w:val="28"/>
        </w:rPr>
        <w:lastRenderedPageBreak/>
        <w:t>Discussion</w:t>
      </w:r>
    </w:p>
    <w:p w:rsidR="00923960" w:rsidRPr="0040497D" w:rsidRDefault="009F7761" w:rsidP="00E75C6F">
      <w:pPr>
        <w:autoSpaceDE w:val="0"/>
        <w:autoSpaceDN w:val="0"/>
        <w:bidi w:val="0"/>
        <w:adjustRightInd w:val="0"/>
        <w:spacing w:before="8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497D">
        <w:rPr>
          <w:rFonts w:asciiTheme="majorHAnsi" w:hAnsiTheme="majorHAnsi" w:cstheme="minorHAnsi"/>
          <w:sz w:val="24"/>
          <w:szCs w:val="24"/>
        </w:rPr>
        <w:t xml:space="preserve">Idiopathic nephrotic syndrome 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was most commonly seen in children </w:t>
      </w:r>
      <w:r w:rsidR="00513127" w:rsidRPr="0040497D">
        <w:rPr>
          <w:rFonts w:asciiTheme="majorHAnsi" w:hAnsiTheme="majorHAnsi" w:cstheme="minorHAnsi"/>
          <w:sz w:val="24"/>
          <w:szCs w:val="24"/>
        </w:rPr>
        <w:t>1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-6 years </w:t>
      </w:r>
      <w:r w:rsidR="00525E98" w:rsidRPr="0040497D">
        <w:rPr>
          <w:rFonts w:asciiTheme="majorHAnsi" w:hAnsiTheme="majorHAnsi" w:cstheme="minorHAnsi"/>
          <w:sz w:val="24"/>
          <w:szCs w:val="24"/>
        </w:rPr>
        <w:t xml:space="preserve">old representing </w:t>
      </w:r>
      <w:r w:rsidR="00B77C7B" w:rsidRPr="0040497D">
        <w:rPr>
          <w:rFonts w:asciiTheme="majorHAnsi" w:hAnsiTheme="majorHAnsi" w:cstheme="minorHAnsi"/>
          <w:sz w:val="24"/>
          <w:szCs w:val="24"/>
        </w:rPr>
        <w:t>71.4% of patients</w:t>
      </w:r>
      <w:r w:rsidR="00525E98" w:rsidRPr="0040497D">
        <w:rPr>
          <w:rFonts w:asciiTheme="majorHAnsi" w:hAnsiTheme="majorHAnsi" w:cstheme="minorHAnsi"/>
          <w:sz w:val="24"/>
          <w:szCs w:val="24"/>
        </w:rPr>
        <w:t xml:space="preserve">, </w:t>
      </w:r>
      <w:r w:rsidR="00A016A3" w:rsidRPr="0040497D">
        <w:rPr>
          <w:rFonts w:asciiTheme="majorHAnsi" w:hAnsiTheme="majorHAnsi" w:cstheme="minorHAnsi"/>
          <w:sz w:val="24"/>
          <w:szCs w:val="24"/>
        </w:rPr>
        <w:t xml:space="preserve">with male predominance 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in agreement with </w:t>
      </w:r>
      <w:r w:rsidR="005909F4" w:rsidRPr="0040497D">
        <w:rPr>
          <w:rFonts w:asciiTheme="majorHAnsi" w:hAnsiTheme="majorHAnsi" w:cstheme="minorHAnsi"/>
          <w:sz w:val="24"/>
          <w:szCs w:val="24"/>
        </w:rPr>
        <w:t>most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 previous studies as in Egypt</w:t>
      </w:r>
      <w:r w:rsidR="00F62F08" w:rsidRPr="0040497D">
        <w:rPr>
          <w:rFonts w:asciiTheme="majorHAnsi" w:hAnsiTheme="majorHAnsi" w:cstheme="minorHAnsi"/>
          <w:sz w:val="24"/>
          <w:szCs w:val="24"/>
          <w:vertAlign w:val="superscript"/>
        </w:rPr>
        <w:t>8</w:t>
      </w:r>
      <w:r w:rsidR="00B77C7B" w:rsidRPr="0040497D">
        <w:rPr>
          <w:rFonts w:asciiTheme="majorHAnsi" w:hAnsiTheme="majorHAnsi" w:cstheme="minorHAnsi"/>
          <w:sz w:val="24"/>
          <w:szCs w:val="24"/>
        </w:rPr>
        <w:t>,</w:t>
      </w:r>
      <w:r w:rsidR="00525E98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B77C7B" w:rsidRPr="0040497D">
        <w:rPr>
          <w:rFonts w:asciiTheme="majorHAnsi" w:hAnsiTheme="majorHAnsi" w:cstheme="minorHAnsi"/>
          <w:sz w:val="24"/>
          <w:szCs w:val="24"/>
        </w:rPr>
        <w:t>Iran</w:t>
      </w:r>
      <w:r w:rsidR="00525E98" w:rsidRPr="0040497D">
        <w:rPr>
          <w:rFonts w:asciiTheme="majorHAnsi" w:hAnsiTheme="majorHAnsi" w:cstheme="minorHAnsi"/>
          <w:sz w:val="24"/>
          <w:szCs w:val="24"/>
          <w:vertAlign w:val="superscript"/>
        </w:rPr>
        <w:t>1</w:t>
      </w:r>
      <w:r w:rsidR="00F62F08" w:rsidRPr="0040497D">
        <w:rPr>
          <w:rFonts w:asciiTheme="majorHAnsi" w:hAnsiTheme="majorHAnsi" w:cstheme="minorHAnsi"/>
          <w:sz w:val="24"/>
          <w:szCs w:val="24"/>
          <w:vertAlign w:val="superscript"/>
        </w:rPr>
        <w:t>3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 and New Zealand</w:t>
      </w:r>
      <w:r w:rsidR="00525E98" w:rsidRPr="0040497D">
        <w:rPr>
          <w:rFonts w:asciiTheme="majorHAnsi" w:hAnsiTheme="majorHAnsi" w:cstheme="minorHAnsi"/>
          <w:sz w:val="24"/>
          <w:szCs w:val="24"/>
        </w:rPr>
        <w:t>.</w:t>
      </w:r>
      <w:r w:rsidR="00525E98" w:rsidRPr="0040497D">
        <w:rPr>
          <w:rFonts w:asciiTheme="majorHAnsi" w:hAnsiTheme="majorHAnsi" w:cstheme="minorHAnsi"/>
          <w:sz w:val="24"/>
          <w:szCs w:val="24"/>
          <w:vertAlign w:val="superscript"/>
        </w:rPr>
        <w:t>15</w:t>
      </w:r>
      <w:r w:rsidR="00B77C7B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D700F0" w:rsidRPr="0040497D">
        <w:rPr>
          <w:rFonts w:asciiTheme="majorHAnsi" w:hAnsiTheme="majorHAnsi" w:cstheme="minorHAnsi"/>
          <w:sz w:val="24"/>
          <w:szCs w:val="24"/>
        </w:rPr>
        <w:t>Steroid was</w:t>
      </w:r>
      <w:r w:rsidR="004273B4" w:rsidRPr="0040497D">
        <w:rPr>
          <w:rFonts w:asciiTheme="majorHAnsi" w:hAnsiTheme="majorHAnsi" w:cstheme="minorHAnsi"/>
          <w:sz w:val="24"/>
          <w:szCs w:val="24"/>
        </w:rPr>
        <w:t xml:space="preserve"> given to all included patients, with</w:t>
      </w:r>
      <w:r w:rsidR="00462278" w:rsidRPr="0040497D">
        <w:rPr>
          <w:rFonts w:asciiTheme="majorHAnsi" w:hAnsiTheme="majorHAnsi" w:cstheme="minorHAnsi"/>
          <w:sz w:val="24"/>
          <w:szCs w:val="24"/>
        </w:rPr>
        <w:t xml:space="preserve"> 79</w:t>
      </w:r>
      <w:r w:rsidR="004273B4" w:rsidRPr="0040497D">
        <w:rPr>
          <w:rFonts w:asciiTheme="majorHAnsi" w:hAnsiTheme="majorHAnsi" w:cstheme="minorHAnsi"/>
          <w:sz w:val="24"/>
          <w:szCs w:val="24"/>
        </w:rPr>
        <w:t>.2</w:t>
      </w:r>
      <w:r w:rsidR="00462278" w:rsidRPr="0040497D">
        <w:rPr>
          <w:rFonts w:asciiTheme="majorHAnsi" w:hAnsiTheme="majorHAnsi" w:cstheme="minorHAnsi"/>
          <w:sz w:val="24"/>
          <w:szCs w:val="24"/>
        </w:rPr>
        <w:t xml:space="preserve">% </w:t>
      </w:r>
      <w:r w:rsidR="004273B4" w:rsidRPr="0040497D">
        <w:rPr>
          <w:rFonts w:asciiTheme="majorHAnsi" w:hAnsiTheme="majorHAnsi" w:cstheme="minorHAnsi"/>
          <w:sz w:val="24"/>
          <w:szCs w:val="24"/>
        </w:rPr>
        <w:t>achieved remission</w:t>
      </w:r>
      <w:r w:rsidR="00D700F0" w:rsidRPr="0040497D">
        <w:rPr>
          <w:rFonts w:asciiTheme="majorHAnsi" w:hAnsiTheme="majorHAnsi" w:cstheme="minorHAnsi"/>
          <w:sz w:val="24"/>
          <w:szCs w:val="24"/>
        </w:rPr>
        <w:t xml:space="preserve"> while </w:t>
      </w:r>
      <w:r w:rsidR="00292E45" w:rsidRPr="0040497D">
        <w:rPr>
          <w:rFonts w:asciiTheme="majorHAnsi" w:hAnsiTheme="majorHAnsi" w:cstheme="minorHAnsi"/>
          <w:sz w:val="24"/>
          <w:szCs w:val="24"/>
        </w:rPr>
        <w:t>2</w:t>
      </w:r>
      <w:r w:rsidR="004273B4" w:rsidRPr="0040497D">
        <w:rPr>
          <w:rFonts w:asciiTheme="majorHAnsi" w:hAnsiTheme="majorHAnsi" w:cstheme="minorHAnsi"/>
          <w:sz w:val="24"/>
          <w:szCs w:val="24"/>
        </w:rPr>
        <w:t>0.8</w:t>
      </w:r>
      <w:r w:rsidR="00292E45" w:rsidRPr="0040497D">
        <w:rPr>
          <w:rFonts w:asciiTheme="majorHAnsi" w:hAnsiTheme="majorHAnsi" w:cstheme="minorHAnsi"/>
          <w:sz w:val="24"/>
          <w:szCs w:val="24"/>
        </w:rPr>
        <w:t>%</w:t>
      </w:r>
      <w:r w:rsidR="00D700F0" w:rsidRPr="0040497D">
        <w:rPr>
          <w:rFonts w:asciiTheme="majorHAnsi" w:hAnsiTheme="majorHAnsi" w:cstheme="minorHAnsi"/>
          <w:sz w:val="24"/>
          <w:szCs w:val="24"/>
        </w:rPr>
        <w:t xml:space="preserve"> were steroid resistant</w:t>
      </w:r>
      <w:r w:rsidR="00257376" w:rsidRPr="0040497D">
        <w:rPr>
          <w:rFonts w:asciiTheme="majorHAnsi" w:hAnsiTheme="majorHAnsi" w:cstheme="minorHAnsi"/>
          <w:sz w:val="24"/>
          <w:szCs w:val="24"/>
        </w:rPr>
        <w:t xml:space="preserve"> (SR)</w:t>
      </w:r>
      <w:r w:rsidR="00D700F0" w:rsidRPr="0040497D">
        <w:rPr>
          <w:rFonts w:asciiTheme="majorHAnsi" w:hAnsiTheme="majorHAnsi" w:cstheme="minorHAnsi"/>
          <w:sz w:val="24"/>
          <w:szCs w:val="24"/>
        </w:rPr>
        <w:t>. Kaddah et al</w:t>
      </w:r>
      <w:r w:rsidR="00AD24E1" w:rsidRPr="0040497D">
        <w:rPr>
          <w:rFonts w:asciiTheme="majorHAnsi" w:hAnsiTheme="majorHAnsi" w:cstheme="minorHAnsi"/>
          <w:sz w:val="24"/>
          <w:szCs w:val="24"/>
        </w:rPr>
        <w:t>.</w:t>
      </w:r>
      <w:r w:rsidR="00D700F0" w:rsidRPr="0040497D">
        <w:rPr>
          <w:rFonts w:asciiTheme="majorHAnsi" w:hAnsiTheme="majorHAnsi" w:cstheme="minorHAnsi"/>
          <w:sz w:val="24"/>
          <w:szCs w:val="24"/>
        </w:rPr>
        <w:t xml:space="preserve"> in Cairo, Egypt showed that 34% of </w:t>
      </w:r>
      <w:r w:rsidR="00257376" w:rsidRPr="0040497D">
        <w:rPr>
          <w:rFonts w:asciiTheme="majorHAnsi" w:hAnsiTheme="majorHAnsi" w:cstheme="minorHAnsi"/>
          <w:sz w:val="24"/>
          <w:szCs w:val="24"/>
        </w:rPr>
        <w:t xml:space="preserve">their </w:t>
      </w:r>
      <w:r w:rsidR="00D700F0" w:rsidRPr="0040497D">
        <w:rPr>
          <w:rFonts w:asciiTheme="majorHAnsi" w:hAnsiTheme="majorHAnsi" w:cstheme="minorHAnsi"/>
          <w:sz w:val="24"/>
          <w:szCs w:val="24"/>
        </w:rPr>
        <w:t>patients had SRNS, which was explained by high consanguinity according to the authors' explanation</w:t>
      </w:r>
      <w:r w:rsidR="00161F59" w:rsidRPr="0040497D">
        <w:rPr>
          <w:rFonts w:asciiTheme="majorHAnsi" w:hAnsiTheme="majorHAnsi" w:cstheme="minorHAnsi"/>
          <w:sz w:val="24"/>
          <w:szCs w:val="24"/>
        </w:rPr>
        <w:t>.</w:t>
      </w:r>
      <w:r w:rsidR="00D07811" w:rsidRPr="0040497D">
        <w:rPr>
          <w:rFonts w:asciiTheme="majorHAnsi" w:hAnsiTheme="majorHAnsi" w:cstheme="minorHAnsi"/>
          <w:sz w:val="24"/>
          <w:szCs w:val="24"/>
          <w:vertAlign w:val="superscript"/>
        </w:rPr>
        <w:t>8</w:t>
      </w:r>
      <w:r w:rsidR="00D700F0" w:rsidRPr="0040497D">
        <w:rPr>
          <w:rFonts w:asciiTheme="majorHAnsi" w:hAnsiTheme="majorHAnsi" w:cstheme="minorHAnsi"/>
          <w:sz w:val="24"/>
          <w:szCs w:val="24"/>
        </w:rPr>
        <w:t xml:space="preserve"> In addition to this</w:t>
      </w:r>
      <w:r w:rsidR="000B76AE" w:rsidRPr="0040497D">
        <w:rPr>
          <w:rFonts w:asciiTheme="majorHAnsi" w:hAnsiTheme="majorHAnsi" w:cstheme="minorHAnsi"/>
          <w:sz w:val="24"/>
          <w:szCs w:val="24"/>
        </w:rPr>
        <w:t xml:space="preserve"> Kaddah et al. study </w:t>
      </w:r>
      <w:r w:rsidR="006933DB">
        <w:rPr>
          <w:rFonts w:asciiTheme="majorHAnsi" w:hAnsiTheme="majorHAnsi" w:cstheme="minorHAnsi"/>
          <w:sz w:val="24"/>
          <w:szCs w:val="24"/>
        </w:rPr>
        <w:t>revealed</w:t>
      </w:r>
      <w:r w:rsidR="000B76AE" w:rsidRPr="0040497D">
        <w:rPr>
          <w:rFonts w:asciiTheme="majorHAnsi" w:hAnsiTheme="majorHAnsi" w:cstheme="minorHAnsi"/>
          <w:sz w:val="24"/>
          <w:szCs w:val="24"/>
        </w:rPr>
        <w:t xml:space="preserve"> higher rate of MesPGN than ours. Lower steroid resistance was </w:t>
      </w:r>
      <w:r w:rsidR="00257376" w:rsidRPr="0040497D">
        <w:rPr>
          <w:rFonts w:asciiTheme="majorHAnsi" w:hAnsiTheme="majorHAnsi" w:cstheme="minorHAnsi"/>
          <w:sz w:val="24"/>
          <w:szCs w:val="24"/>
        </w:rPr>
        <w:t>en</w:t>
      </w:r>
      <w:r w:rsidR="000B76AE" w:rsidRPr="0040497D">
        <w:rPr>
          <w:rFonts w:asciiTheme="majorHAnsi" w:hAnsiTheme="majorHAnsi" w:cstheme="minorHAnsi"/>
          <w:sz w:val="24"/>
          <w:szCs w:val="24"/>
        </w:rPr>
        <w:t xml:space="preserve">countered in </w:t>
      </w:r>
      <w:r w:rsidR="00257376" w:rsidRPr="0040497D">
        <w:rPr>
          <w:rFonts w:asciiTheme="majorHAnsi" w:hAnsiTheme="majorHAnsi" w:cstheme="minorHAnsi"/>
          <w:sz w:val="24"/>
          <w:szCs w:val="24"/>
        </w:rPr>
        <w:t>Yemen</w:t>
      </w:r>
      <w:r w:rsidR="006C7820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4A795A" w:rsidRPr="0040497D">
        <w:rPr>
          <w:rFonts w:asciiTheme="majorHAnsi" w:hAnsiTheme="majorHAnsi" w:cstheme="minorHAnsi"/>
          <w:sz w:val="24"/>
          <w:szCs w:val="24"/>
        </w:rPr>
        <w:t>(7.1%)</w:t>
      </w:r>
      <w:r w:rsidR="00791972" w:rsidRPr="0040497D">
        <w:rPr>
          <w:rFonts w:asciiTheme="majorHAnsi" w:hAnsiTheme="majorHAnsi" w:cstheme="minorHAnsi"/>
          <w:sz w:val="24"/>
          <w:szCs w:val="24"/>
        </w:rPr>
        <w:t>.</w:t>
      </w:r>
      <w:r w:rsidR="00791972" w:rsidRPr="0040497D">
        <w:rPr>
          <w:rFonts w:asciiTheme="majorHAnsi" w:hAnsiTheme="majorHAnsi" w:cstheme="minorHAnsi"/>
          <w:sz w:val="24"/>
          <w:szCs w:val="24"/>
          <w:vertAlign w:val="superscript"/>
        </w:rPr>
        <w:t>12</w:t>
      </w:r>
      <w:r w:rsidR="004A795A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3866D2" w:rsidRPr="0040497D">
        <w:rPr>
          <w:rFonts w:asciiTheme="majorHAnsi" w:hAnsiTheme="majorHAnsi" w:cstheme="minorHAnsi"/>
          <w:sz w:val="24"/>
          <w:szCs w:val="24"/>
        </w:rPr>
        <w:t xml:space="preserve">Near results were encountered in </w:t>
      </w:r>
      <w:r w:rsidR="00524537" w:rsidRPr="0040497D">
        <w:rPr>
          <w:rFonts w:asciiTheme="majorHAnsi" w:hAnsiTheme="majorHAnsi" w:cstheme="minorHAnsi"/>
          <w:sz w:val="24"/>
          <w:szCs w:val="24"/>
        </w:rPr>
        <w:t xml:space="preserve">Saudia Arabia (21.4%), </w:t>
      </w:r>
      <w:r w:rsidR="00785ECA" w:rsidRPr="0040497D">
        <w:rPr>
          <w:rFonts w:asciiTheme="majorHAnsi" w:hAnsiTheme="majorHAnsi" w:cstheme="minorHAnsi"/>
          <w:sz w:val="24"/>
          <w:szCs w:val="24"/>
        </w:rPr>
        <w:t>Turkey</w:t>
      </w:r>
      <w:r w:rsidR="00F34108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785ECA" w:rsidRPr="0040497D">
        <w:rPr>
          <w:rFonts w:asciiTheme="majorHAnsi" w:hAnsiTheme="majorHAnsi" w:cstheme="minorHAnsi"/>
          <w:sz w:val="24"/>
          <w:szCs w:val="24"/>
        </w:rPr>
        <w:t>(18%)</w:t>
      </w:r>
      <w:r w:rsidR="007F72B9" w:rsidRPr="0040497D">
        <w:rPr>
          <w:rFonts w:asciiTheme="majorHAnsi" w:hAnsiTheme="majorHAnsi" w:cstheme="minorHAnsi"/>
          <w:sz w:val="24"/>
          <w:szCs w:val="24"/>
        </w:rPr>
        <w:t xml:space="preserve"> and</w:t>
      </w:r>
      <w:r w:rsidR="00785ECA" w:rsidRPr="0040497D">
        <w:rPr>
          <w:rFonts w:asciiTheme="majorHAnsi" w:hAnsiTheme="majorHAnsi" w:cstheme="minorHAnsi"/>
          <w:sz w:val="24"/>
          <w:szCs w:val="24"/>
        </w:rPr>
        <w:t xml:space="preserve"> New Zealand</w:t>
      </w:r>
      <w:r w:rsidR="00F34108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7F72B9" w:rsidRPr="0040497D">
        <w:rPr>
          <w:rFonts w:asciiTheme="majorHAnsi" w:hAnsiTheme="majorHAnsi" w:cstheme="minorHAnsi"/>
          <w:sz w:val="24"/>
          <w:szCs w:val="24"/>
        </w:rPr>
        <w:t>(19.6%).</w:t>
      </w:r>
      <w:r w:rsidR="00524537" w:rsidRPr="0040497D">
        <w:rPr>
          <w:rFonts w:asciiTheme="majorHAnsi" w:hAnsiTheme="majorHAnsi" w:cstheme="minorHAnsi"/>
          <w:sz w:val="24"/>
          <w:szCs w:val="24"/>
          <w:vertAlign w:val="superscript"/>
        </w:rPr>
        <w:t>10,</w:t>
      </w:r>
      <w:r w:rsidR="00F34108" w:rsidRPr="0040497D">
        <w:rPr>
          <w:rFonts w:asciiTheme="majorHAnsi" w:hAnsiTheme="majorHAnsi" w:cstheme="minorHAnsi"/>
          <w:sz w:val="24"/>
          <w:szCs w:val="24"/>
          <w:vertAlign w:val="superscript"/>
        </w:rPr>
        <w:t>14,15</w:t>
      </w:r>
      <w:r w:rsidR="007F72B9" w:rsidRPr="0040497D">
        <w:rPr>
          <w:rFonts w:asciiTheme="majorHAnsi" w:hAnsiTheme="majorHAnsi" w:cstheme="minorHAnsi"/>
          <w:sz w:val="24"/>
          <w:szCs w:val="24"/>
        </w:rPr>
        <w:t xml:space="preserve"> Higher results were detected in </w:t>
      </w:r>
      <w:r w:rsidR="00785ECA" w:rsidRPr="0040497D">
        <w:rPr>
          <w:rFonts w:asciiTheme="majorHAnsi" w:hAnsiTheme="majorHAnsi" w:cstheme="minorHAnsi"/>
          <w:sz w:val="24"/>
          <w:szCs w:val="24"/>
        </w:rPr>
        <w:t>Iran (24.8%), Brazil</w:t>
      </w:r>
      <w:r w:rsidR="00D9003D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785ECA" w:rsidRPr="0040497D">
        <w:rPr>
          <w:rFonts w:asciiTheme="majorHAnsi" w:hAnsiTheme="majorHAnsi" w:cstheme="minorHAnsi"/>
          <w:sz w:val="24"/>
          <w:szCs w:val="24"/>
        </w:rPr>
        <w:t>(29.9%)</w:t>
      </w:r>
      <w:r w:rsidR="003D584E" w:rsidRPr="0040497D">
        <w:rPr>
          <w:rFonts w:asciiTheme="majorHAnsi" w:hAnsiTheme="majorHAnsi" w:cstheme="minorHAnsi"/>
          <w:sz w:val="24"/>
          <w:szCs w:val="24"/>
        </w:rPr>
        <w:t xml:space="preserve"> and</w:t>
      </w:r>
      <w:r w:rsidR="00785ECA" w:rsidRPr="0040497D">
        <w:rPr>
          <w:rFonts w:asciiTheme="majorHAnsi" w:hAnsiTheme="majorHAnsi" w:cstheme="minorHAnsi"/>
          <w:sz w:val="24"/>
          <w:szCs w:val="24"/>
        </w:rPr>
        <w:t xml:space="preserve"> Japan</w:t>
      </w:r>
      <w:r w:rsidR="00785ECA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785ECA" w:rsidRPr="0040497D">
        <w:rPr>
          <w:rFonts w:asciiTheme="majorHAnsi" w:hAnsiTheme="majorHAnsi" w:cstheme="minorHAnsi"/>
          <w:sz w:val="24"/>
          <w:szCs w:val="24"/>
        </w:rPr>
        <w:t>(36%)</w:t>
      </w:r>
      <w:r w:rsidR="006E1157" w:rsidRPr="0040497D">
        <w:rPr>
          <w:rFonts w:asciiTheme="majorHAnsi" w:hAnsiTheme="majorHAnsi" w:cstheme="minorHAnsi"/>
          <w:sz w:val="24"/>
          <w:szCs w:val="24"/>
        </w:rPr>
        <w:t>.</w:t>
      </w:r>
      <w:r w:rsidR="00432DD4" w:rsidRPr="0040497D">
        <w:rPr>
          <w:rFonts w:asciiTheme="majorHAnsi" w:hAnsiTheme="majorHAnsi" w:cstheme="minorHAnsi"/>
          <w:sz w:val="24"/>
          <w:szCs w:val="24"/>
          <w:vertAlign w:val="superscript"/>
        </w:rPr>
        <w:t>13,23,24</w:t>
      </w:r>
      <w:r w:rsidR="00D700F0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DC2435" w:rsidRPr="0040497D">
        <w:rPr>
          <w:rFonts w:asciiTheme="majorHAnsi" w:hAnsiTheme="majorHAnsi" w:cstheme="minorHAnsi"/>
          <w:sz w:val="24"/>
          <w:szCs w:val="24"/>
        </w:rPr>
        <w:t xml:space="preserve">The </w:t>
      </w:r>
      <w:r w:rsidR="00891EB2" w:rsidRPr="0040497D">
        <w:rPr>
          <w:rFonts w:asciiTheme="majorHAnsi" w:hAnsiTheme="majorHAnsi" w:cstheme="minorHAnsi"/>
          <w:sz w:val="24"/>
          <w:szCs w:val="24"/>
        </w:rPr>
        <w:t xml:space="preserve">underlying </w:t>
      </w:r>
      <w:r w:rsidR="00DC2435" w:rsidRPr="0040497D">
        <w:rPr>
          <w:rFonts w:asciiTheme="majorHAnsi" w:hAnsiTheme="majorHAnsi" w:cstheme="minorHAnsi"/>
          <w:sz w:val="24"/>
          <w:szCs w:val="24"/>
        </w:rPr>
        <w:t xml:space="preserve">renal histology </w:t>
      </w:r>
      <w:r w:rsidR="00C76067" w:rsidRPr="0040497D">
        <w:rPr>
          <w:rFonts w:asciiTheme="majorHAnsi" w:hAnsiTheme="majorHAnsi" w:cstheme="minorHAnsi"/>
          <w:sz w:val="24"/>
          <w:szCs w:val="24"/>
        </w:rPr>
        <w:t>in addition to ethnicity and geographic location have</w:t>
      </w:r>
      <w:r w:rsidR="00DC2435" w:rsidRPr="0040497D">
        <w:rPr>
          <w:rFonts w:asciiTheme="majorHAnsi" w:hAnsiTheme="majorHAnsi" w:cstheme="minorHAnsi"/>
          <w:sz w:val="24"/>
          <w:szCs w:val="24"/>
        </w:rPr>
        <w:t xml:space="preserve"> important </w:t>
      </w:r>
      <w:r w:rsidR="003A1864" w:rsidRPr="0040497D">
        <w:rPr>
          <w:rFonts w:asciiTheme="majorHAnsi" w:hAnsiTheme="majorHAnsi" w:cstheme="minorHAnsi"/>
          <w:sz w:val="24"/>
          <w:szCs w:val="24"/>
        </w:rPr>
        <w:t>impact</w:t>
      </w:r>
      <w:r w:rsidR="00DC2435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3A1864" w:rsidRPr="0040497D">
        <w:rPr>
          <w:rFonts w:asciiTheme="majorHAnsi" w:hAnsiTheme="majorHAnsi" w:cstheme="minorHAnsi"/>
          <w:sz w:val="24"/>
          <w:szCs w:val="24"/>
        </w:rPr>
        <w:t>on the</w:t>
      </w:r>
      <w:r w:rsidR="00DC2435" w:rsidRPr="0040497D">
        <w:rPr>
          <w:rFonts w:asciiTheme="majorHAnsi" w:hAnsiTheme="majorHAnsi" w:cstheme="minorHAnsi"/>
          <w:sz w:val="24"/>
          <w:szCs w:val="24"/>
        </w:rPr>
        <w:t xml:space="preserve"> likelihood of</w:t>
      </w:r>
      <w:r w:rsidR="00F94659" w:rsidRPr="0040497D">
        <w:rPr>
          <w:rFonts w:asciiTheme="majorHAnsi" w:hAnsiTheme="majorHAnsi" w:cstheme="minorHAnsi"/>
          <w:sz w:val="24"/>
          <w:szCs w:val="24"/>
        </w:rPr>
        <w:t xml:space="preserve"> steroid response</w:t>
      </w:r>
      <w:r w:rsidR="00C76067" w:rsidRPr="0040497D">
        <w:rPr>
          <w:rFonts w:asciiTheme="majorHAnsi" w:hAnsiTheme="majorHAnsi" w:cstheme="minorHAnsi"/>
          <w:sz w:val="24"/>
          <w:szCs w:val="24"/>
        </w:rPr>
        <w:t xml:space="preserve"> in INS</w:t>
      </w:r>
      <w:r w:rsidR="00D84E4A" w:rsidRPr="0040497D">
        <w:rPr>
          <w:rFonts w:asciiTheme="majorHAnsi" w:hAnsiTheme="majorHAnsi" w:cstheme="minorHAnsi"/>
          <w:sz w:val="24"/>
          <w:szCs w:val="24"/>
        </w:rPr>
        <w:t>.</w:t>
      </w:r>
      <w:r w:rsidR="00D84E4A" w:rsidRPr="0040497D">
        <w:rPr>
          <w:rFonts w:asciiTheme="majorHAnsi" w:hAnsiTheme="majorHAnsi" w:cstheme="minorHAnsi"/>
          <w:sz w:val="24"/>
          <w:szCs w:val="24"/>
          <w:vertAlign w:val="superscript"/>
        </w:rPr>
        <w:t>2</w:t>
      </w:r>
      <w:r w:rsidR="00634915" w:rsidRPr="0040497D">
        <w:rPr>
          <w:rFonts w:asciiTheme="majorHAnsi" w:hAnsiTheme="majorHAnsi" w:cstheme="minorHAnsi"/>
          <w:sz w:val="24"/>
          <w:szCs w:val="24"/>
          <w:vertAlign w:val="superscript"/>
        </w:rPr>
        <w:t>5</w:t>
      </w:r>
      <w:r w:rsidR="00DC2435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="00F6053A" w:rsidRPr="0040497D">
        <w:rPr>
          <w:rFonts w:asciiTheme="majorHAnsi" w:hAnsiTheme="majorHAnsi" w:cstheme="minorHAnsi"/>
          <w:sz w:val="24"/>
          <w:szCs w:val="24"/>
        </w:rPr>
        <w:t>V</w:t>
      </w:r>
      <w:r w:rsidR="00354FDC" w:rsidRPr="0040497D">
        <w:rPr>
          <w:rFonts w:asciiTheme="majorHAnsi" w:hAnsiTheme="majorHAnsi" w:cstheme="minorHAnsi"/>
          <w:sz w:val="24"/>
          <w:szCs w:val="24"/>
        </w:rPr>
        <w:t>ariation in the definition</w:t>
      </w:r>
      <w:r w:rsidR="005B1638" w:rsidRPr="0040497D">
        <w:rPr>
          <w:rFonts w:asciiTheme="majorHAnsi" w:hAnsiTheme="majorHAnsi" w:cstheme="minorHAnsi"/>
          <w:sz w:val="24"/>
          <w:szCs w:val="24"/>
        </w:rPr>
        <w:t>s</w:t>
      </w:r>
      <w:r w:rsidR="00354FDC" w:rsidRPr="0040497D">
        <w:rPr>
          <w:rFonts w:asciiTheme="majorHAnsi" w:hAnsiTheme="majorHAnsi" w:cstheme="minorHAnsi"/>
          <w:sz w:val="24"/>
          <w:szCs w:val="24"/>
        </w:rPr>
        <w:t xml:space="preserve"> of </w:t>
      </w:r>
      <w:r w:rsidR="00BE22D2" w:rsidRPr="0040497D">
        <w:rPr>
          <w:rFonts w:asciiTheme="majorHAnsi" w:hAnsiTheme="majorHAnsi" w:cstheme="minorHAnsi"/>
          <w:sz w:val="24"/>
          <w:szCs w:val="24"/>
        </w:rPr>
        <w:t>SRNS</w:t>
      </w:r>
      <w:r w:rsidR="00F87731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E75C6F">
        <w:rPr>
          <w:rFonts w:asciiTheme="majorHAnsi" w:hAnsiTheme="majorHAnsi" w:cstheme="minorHAnsi"/>
          <w:sz w:val="24"/>
          <w:szCs w:val="24"/>
        </w:rPr>
        <w:t xml:space="preserve">and </w:t>
      </w:r>
      <w:r w:rsidR="00E75C6F" w:rsidRPr="0040497D">
        <w:rPr>
          <w:rFonts w:asciiTheme="majorHAnsi" w:hAnsiTheme="majorHAnsi" w:cstheme="minorHAnsi"/>
          <w:sz w:val="24"/>
          <w:szCs w:val="24"/>
        </w:rPr>
        <w:t>the involved age group</w:t>
      </w:r>
      <w:r w:rsidR="00E75C6F">
        <w:rPr>
          <w:rFonts w:asciiTheme="majorHAnsi" w:hAnsiTheme="majorHAnsi" w:cstheme="minorHAnsi"/>
          <w:sz w:val="24"/>
          <w:szCs w:val="24"/>
        </w:rPr>
        <w:t>s</w:t>
      </w:r>
      <w:r w:rsidR="00E75C6F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F87731" w:rsidRPr="0040497D">
        <w:rPr>
          <w:rFonts w:asciiTheme="majorHAnsi" w:hAnsiTheme="majorHAnsi" w:cstheme="minorHAnsi"/>
          <w:sz w:val="24"/>
          <w:szCs w:val="24"/>
        </w:rPr>
        <w:t>in the different centers</w:t>
      </w:r>
      <w:r w:rsidR="00981744" w:rsidRPr="0040497D">
        <w:rPr>
          <w:rFonts w:asciiTheme="majorHAnsi" w:hAnsiTheme="majorHAnsi" w:cstheme="minorHAnsi"/>
          <w:sz w:val="24"/>
          <w:szCs w:val="24"/>
        </w:rPr>
        <w:t xml:space="preserve"> also affect the results of various studies.</w:t>
      </w:r>
      <w:r w:rsidR="00C0310B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034393" w:rsidRPr="0040497D">
        <w:rPr>
          <w:rFonts w:asciiTheme="majorHAnsi" w:hAnsiTheme="majorHAnsi" w:cstheme="minorHAnsi"/>
          <w:sz w:val="24"/>
          <w:szCs w:val="24"/>
        </w:rPr>
        <w:t xml:space="preserve">About </w:t>
      </w:r>
      <w:r w:rsidR="00E10CA7" w:rsidRPr="0040497D">
        <w:rPr>
          <w:rFonts w:asciiTheme="majorHAnsi" w:hAnsiTheme="majorHAnsi" w:cstheme="minorHAnsi"/>
          <w:sz w:val="24"/>
          <w:szCs w:val="24"/>
        </w:rPr>
        <w:t>54</w:t>
      </w:r>
      <w:r w:rsidR="00162707" w:rsidRPr="0040497D">
        <w:rPr>
          <w:rFonts w:asciiTheme="majorHAnsi" w:hAnsiTheme="majorHAnsi" w:cstheme="minorHAnsi"/>
          <w:sz w:val="24"/>
          <w:szCs w:val="24"/>
        </w:rPr>
        <w:t>%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of </w:t>
      </w:r>
      <w:r w:rsidR="007B512B" w:rsidRPr="0040497D">
        <w:rPr>
          <w:rFonts w:asciiTheme="majorHAnsi" w:hAnsiTheme="majorHAnsi" w:cstheme="minorHAnsi"/>
          <w:sz w:val="24"/>
          <w:szCs w:val="24"/>
        </w:rPr>
        <w:t>the steroid sensitive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patients </w:t>
      </w:r>
      <w:r w:rsidR="008C53C8" w:rsidRPr="0040497D">
        <w:rPr>
          <w:rFonts w:asciiTheme="majorHAnsi" w:hAnsiTheme="majorHAnsi" w:cstheme="minorHAnsi"/>
          <w:sz w:val="24"/>
          <w:szCs w:val="24"/>
        </w:rPr>
        <w:t>developed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E10CA7" w:rsidRPr="0040497D">
        <w:rPr>
          <w:rFonts w:asciiTheme="majorHAnsi" w:hAnsiTheme="majorHAnsi" w:cstheme="minorHAnsi"/>
          <w:sz w:val="24"/>
          <w:szCs w:val="24"/>
        </w:rPr>
        <w:t xml:space="preserve">either SDNS or FRNS </w:t>
      </w:r>
      <w:r w:rsidR="006A3078" w:rsidRPr="0040497D">
        <w:rPr>
          <w:rFonts w:asciiTheme="majorHAnsi" w:hAnsiTheme="majorHAnsi" w:cstheme="minorHAnsi"/>
          <w:sz w:val="24"/>
          <w:szCs w:val="24"/>
        </w:rPr>
        <w:t>in this study</w:t>
      </w:r>
      <w:r w:rsidR="007B512B" w:rsidRPr="0040497D">
        <w:rPr>
          <w:rFonts w:asciiTheme="majorHAnsi" w:hAnsiTheme="majorHAnsi" w:cstheme="minorHAnsi"/>
          <w:sz w:val="24"/>
          <w:szCs w:val="24"/>
        </w:rPr>
        <w:t>.</w:t>
      </w:r>
      <w:r w:rsidR="0026545D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E10CA7" w:rsidRPr="0040497D">
        <w:rPr>
          <w:rFonts w:asciiTheme="majorHAnsi" w:hAnsiTheme="majorHAnsi" w:cstheme="minorHAnsi"/>
          <w:sz w:val="24"/>
          <w:szCs w:val="24"/>
        </w:rPr>
        <w:t>Lower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results </w:t>
      </w:r>
      <w:r w:rsidR="002E72AF" w:rsidRPr="0040497D">
        <w:rPr>
          <w:rFonts w:asciiTheme="majorHAnsi" w:hAnsiTheme="majorHAnsi" w:cstheme="minorHAnsi"/>
          <w:sz w:val="24"/>
          <w:szCs w:val="24"/>
        </w:rPr>
        <w:t>were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encountered in Iraq </w:t>
      </w:r>
      <w:r w:rsidR="00E10CA7" w:rsidRPr="0040497D">
        <w:rPr>
          <w:rFonts w:asciiTheme="majorHAnsi" w:hAnsiTheme="majorHAnsi" w:cstheme="minorHAnsi"/>
          <w:sz w:val="24"/>
          <w:szCs w:val="24"/>
        </w:rPr>
        <w:t>(</w:t>
      </w:r>
      <w:r w:rsidR="006A3078" w:rsidRPr="0040497D">
        <w:rPr>
          <w:rFonts w:asciiTheme="majorHAnsi" w:hAnsiTheme="majorHAnsi" w:cstheme="minorHAnsi"/>
          <w:sz w:val="24"/>
          <w:szCs w:val="24"/>
        </w:rPr>
        <w:t>43.7%</w:t>
      </w:r>
      <w:r w:rsidR="00E10CA7" w:rsidRPr="0040497D">
        <w:rPr>
          <w:rFonts w:asciiTheme="majorHAnsi" w:hAnsiTheme="majorHAnsi" w:cstheme="minorHAnsi"/>
          <w:sz w:val="24"/>
          <w:szCs w:val="24"/>
        </w:rPr>
        <w:t>)</w:t>
      </w:r>
      <w:r w:rsidR="00911C51" w:rsidRPr="0040497D">
        <w:rPr>
          <w:rFonts w:asciiTheme="majorHAnsi" w:hAnsiTheme="majorHAnsi" w:cstheme="minorHAnsi"/>
          <w:sz w:val="24"/>
          <w:szCs w:val="24"/>
        </w:rPr>
        <w:t>.</w:t>
      </w:r>
      <w:r w:rsidR="005B1638" w:rsidRPr="0040497D">
        <w:rPr>
          <w:rFonts w:asciiTheme="majorHAnsi" w:hAnsiTheme="majorHAnsi" w:cstheme="minorHAnsi"/>
          <w:sz w:val="24"/>
          <w:szCs w:val="24"/>
          <w:vertAlign w:val="superscript"/>
        </w:rPr>
        <w:t>11</w:t>
      </w:r>
      <w:r w:rsidR="00B60036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911C51" w:rsidRPr="0040497D">
        <w:rPr>
          <w:rFonts w:asciiTheme="majorHAnsi" w:hAnsiTheme="majorHAnsi" w:cstheme="minorHAnsi"/>
          <w:sz w:val="24"/>
          <w:szCs w:val="24"/>
        </w:rPr>
        <w:t xml:space="preserve">Near results were reported in 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Denmark </w:t>
      </w:r>
      <w:r w:rsidR="00911C51" w:rsidRPr="0040497D">
        <w:rPr>
          <w:rFonts w:asciiTheme="majorHAnsi" w:hAnsiTheme="majorHAnsi" w:cstheme="minorHAnsi"/>
          <w:sz w:val="24"/>
          <w:szCs w:val="24"/>
        </w:rPr>
        <w:t>(</w:t>
      </w:r>
      <w:r w:rsidR="006A3078" w:rsidRPr="0040497D">
        <w:rPr>
          <w:rFonts w:asciiTheme="majorHAnsi" w:hAnsiTheme="majorHAnsi" w:cstheme="minorHAnsi"/>
          <w:sz w:val="24"/>
          <w:szCs w:val="24"/>
        </w:rPr>
        <w:t>56%</w:t>
      </w:r>
      <w:r w:rsidR="00911C51" w:rsidRPr="0040497D">
        <w:rPr>
          <w:rFonts w:asciiTheme="majorHAnsi" w:hAnsiTheme="majorHAnsi" w:cstheme="minorHAnsi"/>
          <w:sz w:val="24"/>
          <w:szCs w:val="24"/>
        </w:rPr>
        <w:t>)</w:t>
      </w:r>
      <w:r w:rsidR="00B062AF" w:rsidRPr="0040497D">
        <w:rPr>
          <w:rFonts w:asciiTheme="majorHAnsi" w:hAnsiTheme="majorHAnsi" w:cstheme="minorHAnsi"/>
          <w:sz w:val="24"/>
          <w:szCs w:val="24"/>
        </w:rPr>
        <w:t xml:space="preserve"> and New Zealand (56.7%)</w:t>
      </w:r>
      <w:r w:rsidR="000204ED" w:rsidRPr="0040497D">
        <w:rPr>
          <w:rFonts w:asciiTheme="majorHAnsi" w:hAnsiTheme="majorHAnsi" w:cstheme="minorHAnsi"/>
          <w:sz w:val="24"/>
          <w:szCs w:val="24"/>
        </w:rPr>
        <w:t>.</w:t>
      </w:r>
      <w:r w:rsidR="005B1638" w:rsidRPr="0040497D">
        <w:rPr>
          <w:rFonts w:asciiTheme="majorHAnsi" w:hAnsiTheme="majorHAnsi" w:cstheme="minorHAnsi"/>
          <w:sz w:val="24"/>
          <w:szCs w:val="24"/>
          <w:vertAlign w:val="superscript"/>
        </w:rPr>
        <w:t>26</w:t>
      </w:r>
      <w:r w:rsidR="009209EA" w:rsidRPr="0040497D">
        <w:rPr>
          <w:rFonts w:asciiTheme="majorHAnsi" w:hAnsiTheme="majorHAnsi" w:cstheme="minorHAnsi"/>
          <w:sz w:val="24"/>
          <w:szCs w:val="24"/>
          <w:vertAlign w:val="superscript"/>
        </w:rPr>
        <w:t xml:space="preserve">,15 </w:t>
      </w:r>
      <w:r w:rsidR="00911C51" w:rsidRPr="0040497D">
        <w:rPr>
          <w:rFonts w:asciiTheme="majorHAnsi" w:hAnsiTheme="majorHAnsi" w:cstheme="minorHAnsi"/>
          <w:sz w:val="24"/>
          <w:szCs w:val="24"/>
        </w:rPr>
        <w:t xml:space="preserve">Higher results were seen in </w:t>
      </w:r>
      <w:r w:rsidR="00675484" w:rsidRPr="0040497D">
        <w:rPr>
          <w:rFonts w:asciiTheme="majorHAnsi" w:hAnsiTheme="majorHAnsi" w:cstheme="minorHAnsi"/>
          <w:sz w:val="24"/>
          <w:szCs w:val="24"/>
        </w:rPr>
        <w:t>Saudia Arab</w:t>
      </w:r>
      <w:r w:rsidR="002B3B0D" w:rsidRPr="0040497D">
        <w:rPr>
          <w:rFonts w:asciiTheme="majorHAnsi" w:hAnsiTheme="majorHAnsi" w:cstheme="minorHAnsi"/>
          <w:sz w:val="24"/>
          <w:szCs w:val="24"/>
        </w:rPr>
        <w:t>ia</w:t>
      </w:r>
      <w:r w:rsidR="00675484" w:rsidRPr="0040497D">
        <w:rPr>
          <w:rFonts w:asciiTheme="majorHAnsi" w:hAnsiTheme="majorHAnsi" w:cstheme="minorHAnsi"/>
          <w:sz w:val="24"/>
          <w:szCs w:val="24"/>
        </w:rPr>
        <w:t xml:space="preserve"> (62%) and </w:t>
      </w:r>
      <w:r w:rsidR="00DB6F00" w:rsidRPr="0040497D">
        <w:rPr>
          <w:rFonts w:asciiTheme="majorHAnsi" w:hAnsiTheme="majorHAnsi" w:cstheme="minorHAnsi"/>
          <w:sz w:val="24"/>
          <w:szCs w:val="24"/>
        </w:rPr>
        <w:t xml:space="preserve">France </w:t>
      </w:r>
      <w:r w:rsidR="00911C51" w:rsidRPr="0040497D">
        <w:rPr>
          <w:rFonts w:asciiTheme="majorHAnsi" w:hAnsiTheme="majorHAnsi" w:cstheme="minorHAnsi"/>
          <w:sz w:val="24"/>
          <w:szCs w:val="24"/>
        </w:rPr>
        <w:t>(</w:t>
      </w:r>
      <w:r w:rsidR="006A3078" w:rsidRPr="0040497D">
        <w:rPr>
          <w:rFonts w:asciiTheme="majorHAnsi" w:hAnsiTheme="majorHAnsi" w:cstheme="minorHAnsi"/>
          <w:sz w:val="24"/>
          <w:szCs w:val="24"/>
        </w:rPr>
        <w:t>68%</w:t>
      </w:r>
      <w:r w:rsidR="00911C51" w:rsidRPr="0040497D">
        <w:rPr>
          <w:rFonts w:asciiTheme="majorHAnsi" w:hAnsiTheme="majorHAnsi" w:cstheme="minorHAnsi"/>
          <w:sz w:val="24"/>
          <w:szCs w:val="24"/>
        </w:rPr>
        <w:t>)</w:t>
      </w:r>
      <w:r w:rsidR="00684146" w:rsidRPr="0040497D">
        <w:rPr>
          <w:rFonts w:asciiTheme="majorHAnsi" w:hAnsiTheme="majorHAnsi" w:cstheme="minorHAnsi"/>
          <w:sz w:val="24"/>
          <w:szCs w:val="24"/>
        </w:rPr>
        <w:t>.</w:t>
      </w:r>
      <w:r w:rsidR="00675484" w:rsidRPr="0040497D">
        <w:rPr>
          <w:rFonts w:asciiTheme="majorHAnsi" w:hAnsiTheme="majorHAnsi" w:cstheme="minorHAnsi"/>
          <w:sz w:val="24"/>
          <w:szCs w:val="24"/>
          <w:vertAlign w:val="superscript"/>
        </w:rPr>
        <w:t>10,</w:t>
      </w:r>
      <w:r w:rsidR="00911C51" w:rsidRPr="0040497D">
        <w:rPr>
          <w:rFonts w:asciiTheme="majorHAnsi" w:hAnsiTheme="majorHAnsi" w:cstheme="minorHAnsi"/>
          <w:sz w:val="24"/>
          <w:szCs w:val="24"/>
          <w:vertAlign w:val="superscript"/>
        </w:rPr>
        <w:t>27</w:t>
      </w:r>
      <w:r w:rsidR="006A3078" w:rsidRPr="0040497D">
        <w:rPr>
          <w:rFonts w:asciiTheme="majorHAnsi" w:hAnsiTheme="majorHAnsi" w:cstheme="minorHAnsi"/>
          <w:sz w:val="24"/>
          <w:szCs w:val="24"/>
        </w:rPr>
        <w:t xml:space="preserve"> </w:t>
      </w:r>
    </w:p>
    <w:p w:rsidR="00774B1B" w:rsidRDefault="00E44595" w:rsidP="0083219E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color w:val="000000"/>
          <w:sz w:val="26"/>
          <w:szCs w:val="26"/>
        </w:rPr>
      </w:pPr>
      <w:r w:rsidRPr="0040497D">
        <w:rPr>
          <w:rFonts w:asciiTheme="majorHAnsi" w:hAnsiTheme="majorHAnsi" w:cstheme="minorHAnsi"/>
          <w:sz w:val="24"/>
          <w:szCs w:val="24"/>
        </w:rPr>
        <w:t xml:space="preserve">Renal biopsy was </w:t>
      </w:r>
      <w:r w:rsidR="00A41886" w:rsidRPr="0040497D">
        <w:rPr>
          <w:rFonts w:asciiTheme="majorHAnsi" w:hAnsiTheme="majorHAnsi" w:cstheme="minorHAnsi"/>
          <w:sz w:val="24"/>
          <w:szCs w:val="24"/>
        </w:rPr>
        <w:t>indicated</w:t>
      </w:r>
      <w:r w:rsidR="00694968" w:rsidRPr="0040497D">
        <w:rPr>
          <w:rFonts w:asciiTheme="majorHAnsi" w:hAnsiTheme="majorHAnsi" w:cstheme="minorHAnsi"/>
          <w:sz w:val="24"/>
          <w:szCs w:val="24"/>
        </w:rPr>
        <w:t xml:space="preserve"> mainly for initial and late SRNS (61.5%)</w:t>
      </w:r>
      <w:r w:rsidR="00A41886" w:rsidRPr="0040497D">
        <w:rPr>
          <w:rFonts w:asciiTheme="majorHAnsi" w:hAnsiTheme="majorHAnsi" w:cstheme="minorHAnsi"/>
          <w:sz w:val="24"/>
          <w:szCs w:val="24"/>
        </w:rPr>
        <w:t xml:space="preserve"> in this work</w:t>
      </w:r>
      <w:r w:rsidR="004E167B" w:rsidRPr="0040497D">
        <w:rPr>
          <w:rFonts w:asciiTheme="majorHAnsi" w:hAnsiTheme="majorHAnsi" w:cstheme="minorHAnsi"/>
          <w:sz w:val="24"/>
          <w:szCs w:val="24"/>
        </w:rPr>
        <w:t>.</w:t>
      </w:r>
      <w:r w:rsidR="00694968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4E167B" w:rsidRPr="0040497D">
        <w:rPr>
          <w:rFonts w:asciiTheme="majorHAnsi" w:hAnsiTheme="majorHAnsi" w:cstheme="minorHAnsi"/>
          <w:sz w:val="24"/>
          <w:szCs w:val="24"/>
        </w:rPr>
        <w:t>This was in agreement with Kaddah et al</w:t>
      </w:r>
      <w:r w:rsidR="0083219E">
        <w:rPr>
          <w:rFonts w:asciiTheme="majorHAnsi" w:hAnsiTheme="majorHAnsi" w:cstheme="minorHAnsi"/>
          <w:sz w:val="24"/>
          <w:szCs w:val="24"/>
        </w:rPr>
        <w:t>.</w:t>
      </w:r>
      <w:r w:rsidR="004E167B" w:rsidRPr="0040497D">
        <w:rPr>
          <w:rFonts w:asciiTheme="majorHAnsi" w:hAnsiTheme="majorHAnsi" w:cstheme="minorHAnsi"/>
          <w:sz w:val="24"/>
          <w:szCs w:val="24"/>
        </w:rPr>
        <w:t xml:space="preserve"> in Cairo, Bakr et al</w:t>
      </w:r>
      <w:r w:rsidR="00ED7109">
        <w:rPr>
          <w:rFonts w:asciiTheme="majorHAnsi" w:hAnsiTheme="majorHAnsi" w:cstheme="minorHAnsi"/>
          <w:sz w:val="24"/>
          <w:szCs w:val="24"/>
        </w:rPr>
        <w:t>.</w:t>
      </w:r>
      <w:r w:rsidR="004E167B" w:rsidRPr="0040497D">
        <w:rPr>
          <w:rFonts w:asciiTheme="majorHAnsi" w:hAnsiTheme="majorHAnsi" w:cstheme="minorHAnsi"/>
          <w:sz w:val="24"/>
          <w:szCs w:val="24"/>
        </w:rPr>
        <w:t xml:space="preserve"> in Almansoura, Mortazavi et al</w:t>
      </w:r>
      <w:r w:rsidR="0083219E">
        <w:rPr>
          <w:rFonts w:asciiTheme="majorHAnsi" w:hAnsiTheme="majorHAnsi" w:cstheme="minorHAnsi"/>
          <w:sz w:val="24"/>
          <w:szCs w:val="24"/>
        </w:rPr>
        <w:t>.</w:t>
      </w:r>
      <w:r w:rsidR="004E167B" w:rsidRPr="0040497D">
        <w:rPr>
          <w:rFonts w:asciiTheme="majorHAnsi" w:hAnsiTheme="majorHAnsi" w:cstheme="minorHAnsi"/>
          <w:sz w:val="24"/>
          <w:szCs w:val="24"/>
        </w:rPr>
        <w:t xml:space="preserve"> in Iran and Arif et al</w:t>
      </w:r>
      <w:r w:rsidR="0083219E">
        <w:rPr>
          <w:rFonts w:asciiTheme="majorHAnsi" w:hAnsiTheme="majorHAnsi" w:cstheme="minorHAnsi"/>
          <w:sz w:val="24"/>
          <w:szCs w:val="24"/>
        </w:rPr>
        <w:t>.</w:t>
      </w:r>
      <w:r w:rsidR="004E167B" w:rsidRPr="0040497D">
        <w:rPr>
          <w:rFonts w:asciiTheme="majorHAnsi" w:hAnsiTheme="majorHAnsi" w:cstheme="minorHAnsi"/>
          <w:sz w:val="24"/>
          <w:szCs w:val="24"/>
        </w:rPr>
        <w:t xml:space="preserve"> in India</w:t>
      </w:r>
      <w:r w:rsidR="00130E9A" w:rsidRPr="0040497D">
        <w:rPr>
          <w:rFonts w:asciiTheme="majorHAnsi" w:hAnsiTheme="majorHAnsi" w:cstheme="minorHAnsi"/>
          <w:sz w:val="24"/>
          <w:szCs w:val="24"/>
        </w:rPr>
        <w:t xml:space="preserve"> as steroid resistance was the main indication for renal biopsy</w:t>
      </w:r>
      <w:r w:rsidR="00ED7109">
        <w:rPr>
          <w:rFonts w:asciiTheme="majorHAnsi" w:hAnsiTheme="majorHAnsi" w:cstheme="minorHAnsi"/>
          <w:sz w:val="24"/>
          <w:szCs w:val="24"/>
        </w:rPr>
        <w:t xml:space="preserve"> in their studies</w:t>
      </w:r>
      <w:r w:rsidR="00130E9A" w:rsidRPr="0040497D">
        <w:rPr>
          <w:rFonts w:asciiTheme="majorHAnsi" w:hAnsiTheme="majorHAnsi" w:cstheme="minorHAnsi"/>
          <w:sz w:val="24"/>
          <w:szCs w:val="24"/>
        </w:rPr>
        <w:t>.</w:t>
      </w:r>
      <w:r w:rsidR="00FB105D" w:rsidRPr="0040497D">
        <w:rPr>
          <w:rFonts w:asciiTheme="majorHAnsi" w:hAnsiTheme="majorHAnsi" w:cstheme="minorHAnsi"/>
          <w:sz w:val="24"/>
          <w:szCs w:val="24"/>
          <w:vertAlign w:val="superscript"/>
        </w:rPr>
        <w:t>8,9,13,28</w:t>
      </w:r>
      <w:r w:rsidR="00FB105D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="00EE6E9F" w:rsidRPr="0040497D">
        <w:rPr>
          <w:rFonts w:asciiTheme="majorHAnsi" w:hAnsiTheme="majorHAnsi" w:cstheme="minorHAnsi"/>
          <w:sz w:val="24"/>
          <w:szCs w:val="24"/>
        </w:rPr>
        <w:t xml:space="preserve">The main </w:t>
      </w:r>
      <w:r w:rsidRPr="0040497D">
        <w:rPr>
          <w:rFonts w:asciiTheme="majorHAnsi" w:hAnsiTheme="majorHAnsi" w:cstheme="minorHAnsi"/>
          <w:sz w:val="24"/>
          <w:szCs w:val="24"/>
        </w:rPr>
        <w:t xml:space="preserve">histopathological type </w:t>
      </w:r>
      <w:r w:rsidR="00EE6E9F" w:rsidRPr="0040497D">
        <w:rPr>
          <w:rFonts w:asciiTheme="majorHAnsi" w:hAnsiTheme="majorHAnsi" w:cstheme="minorHAnsi"/>
          <w:sz w:val="24"/>
          <w:szCs w:val="24"/>
        </w:rPr>
        <w:t>in our biopsied patients was FSGS in 42%,</w:t>
      </w:r>
      <w:r w:rsidR="00CB74BD" w:rsidRPr="0040497D">
        <w:rPr>
          <w:rFonts w:asciiTheme="majorHAnsi" w:hAnsiTheme="majorHAnsi" w:cstheme="minorHAnsi"/>
          <w:sz w:val="24"/>
          <w:szCs w:val="24"/>
        </w:rPr>
        <w:t xml:space="preserve"> </w:t>
      </w:r>
      <w:r w:rsidRPr="0040497D">
        <w:rPr>
          <w:rFonts w:asciiTheme="majorHAnsi" w:hAnsiTheme="majorHAnsi" w:cstheme="minorHAnsi"/>
          <w:sz w:val="24"/>
          <w:szCs w:val="24"/>
        </w:rPr>
        <w:t xml:space="preserve">followed by </w:t>
      </w:r>
      <w:r w:rsidR="00EE6E9F" w:rsidRPr="0040497D">
        <w:rPr>
          <w:rFonts w:asciiTheme="majorHAnsi" w:hAnsiTheme="majorHAnsi" w:cstheme="minorHAnsi"/>
          <w:sz w:val="24"/>
          <w:szCs w:val="24"/>
        </w:rPr>
        <w:t>MCD</w:t>
      </w:r>
      <w:r w:rsidRPr="0040497D">
        <w:rPr>
          <w:rFonts w:asciiTheme="majorHAnsi" w:hAnsiTheme="majorHAnsi" w:cstheme="minorHAnsi"/>
          <w:sz w:val="24"/>
          <w:szCs w:val="24"/>
        </w:rPr>
        <w:t xml:space="preserve"> in </w:t>
      </w:r>
      <w:r w:rsidR="00EE6E9F" w:rsidRPr="0040497D">
        <w:rPr>
          <w:rFonts w:asciiTheme="majorHAnsi" w:hAnsiTheme="majorHAnsi" w:cstheme="minorHAnsi"/>
          <w:sz w:val="24"/>
          <w:szCs w:val="24"/>
        </w:rPr>
        <w:t>39</w:t>
      </w:r>
      <w:r w:rsidRPr="0040497D">
        <w:rPr>
          <w:rFonts w:asciiTheme="majorHAnsi" w:hAnsiTheme="majorHAnsi" w:cstheme="minorHAnsi"/>
          <w:sz w:val="24"/>
          <w:szCs w:val="24"/>
        </w:rPr>
        <w:t xml:space="preserve">% </w:t>
      </w:r>
      <w:r w:rsidR="00CB74BD" w:rsidRPr="0040497D">
        <w:rPr>
          <w:rFonts w:asciiTheme="majorHAnsi" w:hAnsiTheme="majorHAnsi" w:cstheme="minorHAnsi"/>
          <w:sz w:val="24"/>
          <w:szCs w:val="24"/>
        </w:rPr>
        <w:t>and MesPGN</w:t>
      </w:r>
      <w:r w:rsidRPr="0040497D">
        <w:rPr>
          <w:rFonts w:asciiTheme="majorHAnsi" w:hAnsiTheme="majorHAnsi" w:cstheme="minorHAnsi"/>
          <w:sz w:val="24"/>
          <w:szCs w:val="24"/>
        </w:rPr>
        <w:t xml:space="preserve"> in </w:t>
      </w:r>
      <w:r w:rsidR="00EE6E9F" w:rsidRPr="0040497D">
        <w:rPr>
          <w:rFonts w:asciiTheme="majorHAnsi" w:hAnsiTheme="majorHAnsi" w:cstheme="minorHAnsi"/>
          <w:sz w:val="24"/>
          <w:szCs w:val="24"/>
        </w:rPr>
        <w:t>19</w:t>
      </w:r>
      <w:r w:rsidRPr="0040497D">
        <w:rPr>
          <w:rFonts w:asciiTheme="majorHAnsi" w:hAnsiTheme="majorHAnsi" w:cstheme="minorHAnsi"/>
          <w:sz w:val="24"/>
          <w:szCs w:val="24"/>
        </w:rPr>
        <w:t xml:space="preserve">% of patients. </w:t>
      </w:r>
      <w:r w:rsidR="00F6157F">
        <w:rPr>
          <w:rFonts w:asciiTheme="majorHAnsi" w:hAnsiTheme="majorHAnsi" w:cstheme="minorHAnsi"/>
          <w:sz w:val="24"/>
          <w:szCs w:val="24"/>
        </w:rPr>
        <w:t xml:space="preserve">Differences between our study and other studies in distribution of </w:t>
      </w:r>
      <w:r w:rsidR="00915841">
        <w:rPr>
          <w:rFonts w:asciiTheme="majorHAnsi" w:hAnsiTheme="majorHAnsi" w:cstheme="minorHAnsi"/>
          <w:sz w:val="24"/>
          <w:szCs w:val="24"/>
        </w:rPr>
        <w:t>histo</w:t>
      </w:r>
      <w:r w:rsidR="00F6157F">
        <w:rPr>
          <w:rFonts w:asciiTheme="majorHAnsi" w:hAnsiTheme="majorHAnsi" w:cstheme="minorHAnsi"/>
          <w:sz w:val="24"/>
          <w:szCs w:val="24"/>
        </w:rPr>
        <w:t>pathological types are shown in table (3)</w:t>
      </w:r>
    </w:p>
    <w:p w:rsidR="00DD0AD2" w:rsidRPr="0040497D" w:rsidRDefault="00DD0AD2" w:rsidP="00DD0AD2">
      <w:pPr>
        <w:autoSpaceDE w:val="0"/>
        <w:autoSpaceDN w:val="0"/>
        <w:bidi w:val="0"/>
        <w:adjustRightInd w:val="0"/>
        <w:spacing w:before="120" w:after="8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40497D">
        <w:rPr>
          <w:rFonts w:asciiTheme="majorHAnsi" w:hAnsiTheme="majorHAnsi" w:cstheme="minorHAnsi"/>
          <w:b/>
          <w:bCs/>
          <w:sz w:val="24"/>
          <w:szCs w:val="24"/>
        </w:rPr>
        <w:t>Table (3):</w:t>
      </w:r>
      <w:r w:rsidRPr="0040497D">
        <w:rPr>
          <w:rFonts w:asciiTheme="majorHAnsi" w:hAnsiTheme="majorHAnsi" w:cstheme="minorHAnsi"/>
          <w:sz w:val="24"/>
          <w:szCs w:val="24"/>
        </w:rPr>
        <w:t xml:space="preserve"> Histopathological spectrum in the various studies </w:t>
      </w:r>
    </w:p>
    <w:tbl>
      <w:tblPr>
        <w:tblStyle w:val="LightList-Accent11"/>
        <w:bidiVisual/>
        <w:tblW w:w="8350" w:type="dxa"/>
        <w:tblLook w:val="04A0"/>
      </w:tblPr>
      <w:tblGrid>
        <w:gridCol w:w="1129"/>
        <w:gridCol w:w="817"/>
        <w:gridCol w:w="924"/>
        <w:gridCol w:w="1167"/>
        <w:gridCol w:w="817"/>
        <w:gridCol w:w="817"/>
        <w:gridCol w:w="2679"/>
      </w:tblGrid>
      <w:tr w:rsidR="00DD0AD2" w:rsidRPr="00552C03" w:rsidTr="00CD1C9E">
        <w:trPr>
          <w:cnfStyle w:val="100000000000"/>
          <w:trHeight w:val="274"/>
        </w:trPr>
        <w:tc>
          <w:tcPr>
            <w:cnfStyle w:val="001000000000"/>
            <w:tcW w:w="1129" w:type="dxa"/>
            <w:shd w:val="clear" w:color="auto" w:fill="D9D9D9" w:themeFill="background1" w:themeFillShade="D9"/>
          </w:tcPr>
          <w:p w:rsidR="00DD0AD2" w:rsidRPr="00DD0AD2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100000000000"/>
              <w:rPr>
                <w:rFonts w:asciiTheme="majorHAnsi" w:hAnsiTheme="majorHAnsi" w:cs="Goudy"/>
                <w:color w:val="000000"/>
                <w:sz w:val="24"/>
                <w:szCs w:val="24"/>
              </w:rPr>
            </w:pPr>
            <w:r w:rsidRPr="001A055D">
              <w:rPr>
                <w:rFonts w:asciiTheme="majorHAnsi" w:hAnsiTheme="majorHAnsi" w:cs="Goudy"/>
                <w:color w:val="000000"/>
                <w:sz w:val="24"/>
                <w:szCs w:val="24"/>
              </w:rPr>
              <w:t>Histopathological patterns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D0AD2" w:rsidRPr="00DD0AD2" w:rsidRDefault="00DD0AD2" w:rsidP="00CD1C9E">
            <w:pPr>
              <w:bidi w:val="0"/>
              <w:cnfStyle w:val="100000000000"/>
              <w:rPr>
                <w:rFonts w:asciiTheme="majorHAnsi" w:hAnsiTheme="majorHAnsi" w:cs="Goudy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DD0AD2" w:rsidRPr="00552C03" w:rsidTr="00CD1C9E">
        <w:trPr>
          <w:cnfStyle w:val="000000100000"/>
          <w:trHeight w:val="274"/>
        </w:trPr>
        <w:tc>
          <w:tcPr>
            <w:cnfStyle w:val="001000000000"/>
            <w:tcW w:w="1129" w:type="dxa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HAnsi" w:hAnsiTheme="majorHAnsi" w:cs="Goudy"/>
                <w:b w:val="0"/>
                <w:bCs w:val="0"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 w:val="0"/>
                <w:bCs w:val="0"/>
                <w:color w:val="000000"/>
              </w:rPr>
              <w:t>Others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</w:rPr>
              <w:t>MN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</w:rPr>
              <w:t>MPGN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</w:rPr>
              <w:t>MesPGN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</w:rPr>
              <w:t>FSGS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autoSpaceDE w:val="0"/>
              <w:autoSpaceDN w:val="0"/>
              <w:bidi w:val="0"/>
              <w:adjustRightInd w:val="0"/>
              <w:jc w:val="center"/>
              <w:cnfStyle w:val="000000100000"/>
              <w:rPr>
                <w:rFonts w:asciiTheme="majorHAnsi" w:hAnsiTheme="majorHAnsi" w:cs="Goudy"/>
                <w:b/>
                <w:bCs/>
                <w:color w:val="000000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</w:rPr>
              <w:t>MCD</w:t>
            </w:r>
          </w:p>
        </w:tc>
        <w:tc>
          <w:tcPr>
            <w:tcW w:w="0" w:type="auto"/>
            <w:vAlign w:val="center"/>
          </w:tcPr>
          <w:p w:rsidR="00DD0AD2" w:rsidRPr="001A055D" w:rsidRDefault="00DD0AD2" w:rsidP="00CD1C9E">
            <w:pPr>
              <w:bidi w:val="0"/>
              <w:cnfStyle w:val="000000100000"/>
              <w:rPr>
                <w:rFonts w:ascii="Goudy" w:hAnsi="Goudy" w:cs="Goudy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A055D">
              <w:rPr>
                <w:rFonts w:asciiTheme="majorHAnsi" w:hAnsiTheme="majorHAnsi" w:cs="Goudy"/>
                <w:b/>
                <w:bCs/>
                <w:color w:val="000000"/>
                <w:sz w:val="24"/>
                <w:szCs w:val="24"/>
              </w:rPr>
              <w:t>Studies</w:t>
            </w:r>
          </w:p>
        </w:tc>
      </w:tr>
      <w:tr w:rsidR="00DD0AD2" w:rsidRPr="00D3204B" w:rsidTr="00CD1C9E">
        <w:trPr>
          <w:trHeight w:val="292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autoSpaceDE w:val="0"/>
              <w:autoSpaceDN w:val="0"/>
              <w:bidi w:val="0"/>
              <w:adjustRightInd w:val="0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Our study</w:t>
            </w:r>
          </w:p>
          <w:p w:rsidR="00DD0AD2" w:rsidRPr="00DD0AD2" w:rsidRDefault="00DD0AD2" w:rsidP="00CD1C9E">
            <w:pPr>
              <w:bidi w:val="0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(Upper Egypt)</w:t>
            </w:r>
          </w:p>
        </w:tc>
      </w:tr>
      <w:tr w:rsidR="00DD0AD2" w:rsidRPr="008264F0" w:rsidTr="00CD1C9E">
        <w:trPr>
          <w:cnfStyle w:val="000000100000"/>
          <w:trHeight w:val="274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Kaddah et al, 2011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(8)</w:t>
            </w:r>
          </w:p>
          <w:p w:rsidR="00DD0AD2" w:rsidRPr="00DD0AD2" w:rsidRDefault="00DD0AD2" w:rsidP="00CD1C9E">
            <w:pPr>
              <w:bidi w:val="0"/>
              <w:cnfStyle w:val="000000100000"/>
              <w:rPr>
                <w:rFonts w:ascii="Goudy" w:hAnsi="Goudy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(Lower Egypt)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D0AD2" w:rsidRPr="008264F0" w:rsidTr="00CD1C9E">
        <w:trPr>
          <w:trHeight w:val="292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23.7%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54.3%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Bakr et al, 2014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(9)</w:t>
            </w:r>
          </w:p>
          <w:p w:rsidR="00DD0AD2" w:rsidRPr="00DD0AD2" w:rsidRDefault="00DD0AD2" w:rsidP="00CD1C9E">
            <w:pPr>
              <w:bidi w:val="0"/>
              <w:cnfStyle w:val="000000000000"/>
              <w:rPr>
                <w:rFonts w:ascii="Goudy" w:hAnsi="Goudy" w:cs="Goudy"/>
                <w:b/>
                <w:bCs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(Lower Egypt)</w:t>
            </w:r>
          </w:p>
        </w:tc>
      </w:tr>
      <w:tr w:rsidR="00DD0AD2" w:rsidRPr="004B5FDF" w:rsidTr="00CD1C9E">
        <w:trPr>
          <w:cnfStyle w:val="000000100000"/>
          <w:trHeight w:val="292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</w:tcPr>
          <w:p w:rsidR="00DD0AD2" w:rsidRPr="00DD0AD2" w:rsidRDefault="00DD0AD2" w:rsidP="00232B3C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Kari, 2002</w:t>
            </w:r>
            <w:r w:rsidR="00232B3C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(29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(Saudia Arabia)</w:t>
            </w:r>
          </w:p>
        </w:tc>
      </w:tr>
      <w:tr w:rsidR="00DD0AD2" w:rsidRPr="004B5FDF" w:rsidTr="00CD1C9E">
        <w:trPr>
          <w:trHeight w:val="292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14.4%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47.6%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Asinobi et al, 2015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(30)</w:t>
            </w:r>
          </w:p>
          <w:p w:rsidR="00DD0AD2" w:rsidRPr="00DD0AD2" w:rsidRDefault="00DD0AD2" w:rsidP="00CD1C9E">
            <w:pPr>
              <w:bidi w:val="0"/>
              <w:cnfStyle w:val="000000000000"/>
              <w:rPr>
                <w:rFonts w:ascii="Goudy" w:hAnsi="Goudy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(Nigeria)</w:t>
            </w:r>
          </w:p>
        </w:tc>
      </w:tr>
      <w:tr w:rsidR="00DD0AD2" w:rsidRPr="00C0074D" w:rsidTr="00CD1C9E">
        <w:trPr>
          <w:cnfStyle w:val="000000100000"/>
          <w:trHeight w:val="292"/>
        </w:trPr>
        <w:tc>
          <w:tcPr>
            <w:cnfStyle w:val="001000000000"/>
            <w:tcW w:w="1129" w:type="dxa"/>
          </w:tcPr>
          <w:p w:rsidR="00DD0AD2" w:rsidRPr="00DD0AD2" w:rsidRDefault="00DD0AD2" w:rsidP="00CD1C9E">
            <w:pPr>
              <w:bidi w:val="0"/>
              <w:jc w:val="center"/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D0AD2" w:rsidRPr="00DD0AD2" w:rsidRDefault="00DD0AD2" w:rsidP="00AF4950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26.</w:t>
            </w:r>
            <w:r w:rsidR="00AF4950">
              <w:rPr>
                <w:rFonts w:ascii="Goudy" w:hAnsi="Goudy" w:cs="Goudy"/>
                <w:color w:val="000000"/>
                <w:sz w:val="20"/>
                <w:szCs w:val="20"/>
              </w:rPr>
              <w:t>5</w:t>
            </w: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DD0AD2" w:rsidRPr="00DD0AD2" w:rsidRDefault="00DD0AD2" w:rsidP="00AF4950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32.</w:t>
            </w:r>
            <w:r w:rsidR="00AF4950">
              <w:rPr>
                <w:rFonts w:ascii="Goudy" w:hAnsi="Goudy" w:cs="Goudy"/>
                <w:color w:val="000000"/>
                <w:sz w:val="20"/>
                <w:szCs w:val="20"/>
              </w:rPr>
              <w:t>7</w:t>
            </w: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40.8%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Mortazavi et al, 2011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(13)</w:t>
            </w:r>
          </w:p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(Iran)</w:t>
            </w:r>
          </w:p>
        </w:tc>
      </w:tr>
      <w:tr w:rsidR="00DD0AD2" w:rsidRPr="00C0074D" w:rsidTr="00CD1C9E">
        <w:trPr>
          <w:trHeight w:val="292"/>
        </w:trPr>
        <w:tc>
          <w:tcPr>
            <w:cnfStyle w:val="001000000000"/>
            <w:tcW w:w="1129" w:type="dxa"/>
          </w:tcPr>
          <w:p w:rsidR="00DD0AD2" w:rsidRPr="00DD0AD2" w:rsidRDefault="00AD661F" w:rsidP="00CD1C9E">
            <w:pPr>
              <w:bidi w:val="0"/>
              <w:jc w:val="center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38.1%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43.8%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Mubarak et al, 2009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(31)</w:t>
            </w:r>
          </w:p>
          <w:p w:rsidR="00DD0AD2" w:rsidRPr="00DD0AD2" w:rsidRDefault="00DD0AD2" w:rsidP="00CD1C9E">
            <w:pPr>
              <w:bidi w:val="0"/>
              <w:cnfStyle w:val="000000000000"/>
              <w:rPr>
                <w:sz w:val="20"/>
                <w:szCs w:val="20"/>
                <w:rtl/>
                <w:lang w:bidi="ar-EG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(Pakistan)</w:t>
            </w:r>
          </w:p>
        </w:tc>
      </w:tr>
      <w:tr w:rsidR="00DD0AD2" w:rsidRPr="008264F0" w:rsidTr="00CD1C9E">
        <w:trPr>
          <w:cnfStyle w:val="000000100000"/>
          <w:trHeight w:val="292"/>
        </w:trPr>
        <w:tc>
          <w:tcPr>
            <w:cnfStyle w:val="001000000000"/>
            <w:tcW w:w="1129" w:type="dxa"/>
          </w:tcPr>
          <w:p w:rsidR="00DD0AD2" w:rsidRPr="00DD0AD2" w:rsidRDefault="00A13DB2" w:rsidP="00CD1C9E">
            <w:pPr>
              <w:bidi w:val="0"/>
              <w:jc w:val="center"/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2.6</w:t>
            </w:r>
            <w:r w:rsidR="008561FB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0" w:type="auto"/>
          </w:tcPr>
          <w:p w:rsidR="00DD0AD2" w:rsidRPr="00DD0AD2" w:rsidRDefault="00594A88" w:rsidP="00CD1C9E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46.8%</w:t>
            </w:r>
          </w:p>
        </w:tc>
        <w:tc>
          <w:tcPr>
            <w:tcW w:w="0" w:type="auto"/>
          </w:tcPr>
          <w:p w:rsidR="00DD0AD2" w:rsidRPr="00DD0AD2" w:rsidRDefault="00594A88" w:rsidP="00594A88">
            <w:pPr>
              <w:bidi w:val="0"/>
              <w:jc w:val="center"/>
              <w:cnfStyle w:val="000000100000"/>
              <w:rPr>
                <w:rFonts w:ascii="Goudy" w:hAnsi="Goudy" w:cs="Goudy"/>
                <w:color w:val="000000"/>
                <w:sz w:val="20"/>
                <w:szCs w:val="20"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 xml:space="preserve">Arif et al, 2016 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(28)</w:t>
            </w:r>
          </w:p>
          <w:p w:rsidR="00DD0AD2" w:rsidRPr="00DD0AD2" w:rsidRDefault="00DD0AD2" w:rsidP="00CD1C9E">
            <w:pPr>
              <w:bidi w:val="0"/>
              <w:cnfStyle w:val="0000001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(India)</w:t>
            </w:r>
          </w:p>
        </w:tc>
      </w:tr>
      <w:tr w:rsidR="00DD0AD2" w:rsidRPr="008264F0" w:rsidTr="00CD1C9E">
        <w:trPr>
          <w:trHeight w:val="292"/>
        </w:trPr>
        <w:tc>
          <w:tcPr>
            <w:cnfStyle w:val="001000000000"/>
            <w:tcW w:w="1129" w:type="dxa"/>
          </w:tcPr>
          <w:p w:rsidR="00DD0AD2" w:rsidRPr="00DD0AD2" w:rsidRDefault="000048F1" w:rsidP="00CD1C9E">
            <w:pPr>
              <w:bidi w:val="0"/>
              <w:jc w:val="center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15</w:t>
            </w:r>
            <w:r w:rsidR="00DD0AD2" w:rsidRPr="00DD0AD2">
              <w:rPr>
                <w:rFonts w:ascii="Goudy" w:hAnsi="Goudy" w:cs="Goudy"/>
                <w:b w:val="0"/>
                <w:bCs w:val="0"/>
                <w:color w:val="000000"/>
                <w:sz w:val="20"/>
                <w:szCs w:val="20"/>
              </w:rPr>
              <w:t>.6%</w:t>
            </w:r>
          </w:p>
        </w:tc>
        <w:tc>
          <w:tcPr>
            <w:tcW w:w="0" w:type="auto"/>
          </w:tcPr>
          <w:p w:rsidR="00DD0AD2" w:rsidRPr="00DD0AD2" w:rsidRDefault="00DD0AD2" w:rsidP="000048F1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3.</w:t>
            </w:r>
            <w:r w:rsidR="000048F1">
              <w:rPr>
                <w:rFonts w:ascii="Goudy" w:hAnsi="Goudy" w:cs="Goudy"/>
                <w:color w:val="000000"/>
                <w:sz w:val="20"/>
                <w:szCs w:val="20"/>
              </w:rPr>
              <w:t>6</w:t>
            </w: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48.2%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jc w:val="center"/>
              <w:cnfStyle w:val="000000000000"/>
              <w:rPr>
                <w:rFonts w:ascii="Goudy" w:hAnsi="Goudy" w:cs="Goudy"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="Goudy" w:hAnsi="Goudy" w:cs="Goudy"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0" w:type="auto"/>
          </w:tcPr>
          <w:p w:rsidR="00DD0AD2" w:rsidRPr="00DD0AD2" w:rsidRDefault="00DD0AD2" w:rsidP="00CD1C9E">
            <w:pPr>
              <w:bidi w:val="0"/>
              <w:cnfStyle w:val="000000000000"/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</w:pP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</w:rPr>
              <w:t>Zhou et al, 2014</w:t>
            </w:r>
            <w:r w:rsidRPr="00DD0AD2">
              <w:rPr>
                <w:rFonts w:asciiTheme="majorHAnsi" w:hAnsiTheme="majorHAnsi" w:cs="Goudy"/>
                <w:b/>
                <w:bCs/>
                <w:color w:val="000000"/>
                <w:sz w:val="20"/>
                <w:szCs w:val="20"/>
                <w:vertAlign w:val="superscript"/>
              </w:rPr>
              <w:t>(16)</w:t>
            </w:r>
          </w:p>
          <w:p w:rsidR="00DD0AD2" w:rsidRPr="00DD0AD2" w:rsidRDefault="00DD0AD2" w:rsidP="00CD1C9E">
            <w:pPr>
              <w:bidi w:val="0"/>
              <w:cnfStyle w:val="000000000000"/>
              <w:rPr>
                <w:rFonts w:ascii="Goudy" w:hAnsi="Goudy" w:cs="Goudy"/>
                <w:b/>
                <w:bCs/>
                <w:color w:val="000000"/>
                <w:sz w:val="20"/>
                <w:szCs w:val="20"/>
                <w:rtl/>
              </w:rPr>
            </w:pPr>
            <w:r w:rsidRPr="00DD0AD2">
              <w:rPr>
                <w:rFonts w:asciiTheme="majorHAnsi" w:hAnsiTheme="majorHAnsi" w:cs="Goudy"/>
                <w:color w:val="000000"/>
                <w:sz w:val="20"/>
                <w:szCs w:val="20"/>
              </w:rPr>
              <w:t>(China)</w:t>
            </w:r>
          </w:p>
        </w:tc>
      </w:tr>
    </w:tbl>
    <w:p w:rsidR="00DD0AD2" w:rsidRPr="00915841" w:rsidRDefault="00DD0AD2" w:rsidP="00DD0AD2">
      <w:pPr>
        <w:autoSpaceDE w:val="0"/>
        <w:autoSpaceDN w:val="0"/>
        <w:bidi w:val="0"/>
        <w:adjustRightInd w:val="0"/>
        <w:spacing w:before="80" w:after="24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15841">
        <w:rPr>
          <w:rFonts w:asciiTheme="majorHAnsi" w:hAnsiTheme="majorHAnsi" w:cstheme="majorBidi"/>
          <w:b/>
          <w:bCs/>
          <w:sz w:val="20"/>
          <w:szCs w:val="20"/>
        </w:rPr>
        <w:t>MCD</w:t>
      </w:r>
      <w:r w:rsidRPr="00915841">
        <w:rPr>
          <w:rFonts w:asciiTheme="majorHAnsi" w:hAnsiTheme="majorHAnsi" w:cstheme="majorBidi"/>
          <w:sz w:val="20"/>
          <w:szCs w:val="20"/>
        </w:rPr>
        <w:t>, minimal change disease;</w:t>
      </w:r>
      <w:r w:rsidRPr="00915841">
        <w:rPr>
          <w:rFonts w:asciiTheme="majorHAnsi" w:hAnsiTheme="majorHAnsi" w:cstheme="majorBidi"/>
          <w:b/>
          <w:bCs/>
          <w:sz w:val="20"/>
          <w:szCs w:val="20"/>
        </w:rPr>
        <w:t xml:space="preserve"> FSGS</w:t>
      </w:r>
      <w:r w:rsidRPr="00915841">
        <w:rPr>
          <w:rFonts w:asciiTheme="majorHAnsi" w:hAnsiTheme="majorHAnsi" w:cstheme="majorBidi"/>
          <w:sz w:val="20"/>
          <w:szCs w:val="20"/>
        </w:rPr>
        <w:t>, focal segmental glomerulosclerosis;</w:t>
      </w:r>
      <w:r w:rsidRPr="00915841">
        <w:rPr>
          <w:rFonts w:asciiTheme="majorHAnsi" w:hAnsiTheme="majorHAnsi" w:cstheme="majorBidi"/>
          <w:b/>
          <w:bCs/>
          <w:sz w:val="20"/>
          <w:szCs w:val="20"/>
        </w:rPr>
        <w:t xml:space="preserve"> MesPGN</w:t>
      </w:r>
      <w:r w:rsidRPr="00915841">
        <w:rPr>
          <w:rFonts w:asciiTheme="majorHAnsi" w:hAnsiTheme="majorHAnsi" w:cstheme="majorBidi"/>
          <w:sz w:val="20"/>
          <w:szCs w:val="20"/>
        </w:rPr>
        <w:t>, mesangio-proliferative glomerulonephritis</w:t>
      </w:r>
      <w:r w:rsidRPr="00915841">
        <w:rPr>
          <w:rFonts w:asciiTheme="majorHAnsi" w:hAnsiTheme="majorHAnsi" w:cstheme="minorHAnsi"/>
          <w:b/>
          <w:bCs/>
          <w:sz w:val="20"/>
          <w:szCs w:val="20"/>
        </w:rPr>
        <w:t xml:space="preserve">; MPGN, </w:t>
      </w:r>
      <w:r w:rsidRPr="00915841">
        <w:rPr>
          <w:rFonts w:asciiTheme="majorHAnsi" w:hAnsiTheme="majorHAnsi" w:cstheme="minorHAnsi"/>
          <w:sz w:val="20"/>
          <w:szCs w:val="20"/>
        </w:rPr>
        <w:t>membranoproliferative glomerulo-nephritis;</w:t>
      </w:r>
      <w:r w:rsidRPr="00915841">
        <w:rPr>
          <w:rFonts w:asciiTheme="majorHAnsi" w:hAnsiTheme="majorHAnsi" w:cstheme="minorHAnsi"/>
          <w:b/>
          <w:bCs/>
          <w:sz w:val="20"/>
          <w:szCs w:val="20"/>
        </w:rPr>
        <w:t xml:space="preserve"> MN, </w:t>
      </w:r>
      <w:r w:rsidRPr="00915841">
        <w:rPr>
          <w:rFonts w:asciiTheme="majorHAnsi" w:hAnsiTheme="majorHAnsi" w:cstheme="minorHAnsi"/>
          <w:sz w:val="20"/>
          <w:szCs w:val="20"/>
        </w:rPr>
        <w:t>membranous nephropathy</w:t>
      </w:r>
    </w:p>
    <w:p w:rsidR="003C5CA3" w:rsidRPr="003C2A8E" w:rsidRDefault="003C5CA3" w:rsidP="00BC01A3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3C2A8E">
        <w:rPr>
          <w:rFonts w:asciiTheme="majorHAnsi" w:hAnsiTheme="majorHAnsi" w:cstheme="minorHAnsi"/>
          <w:color w:val="000000"/>
          <w:sz w:val="24"/>
          <w:szCs w:val="24"/>
        </w:rPr>
        <w:lastRenderedPageBreak/>
        <w:t xml:space="preserve">The </w:t>
      </w:r>
      <w:r w:rsidR="00FD25F9" w:rsidRPr="003C2A8E">
        <w:rPr>
          <w:rFonts w:asciiTheme="majorHAnsi" w:hAnsiTheme="majorHAnsi" w:cstheme="minorHAnsi"/>
          <w:color w:val="000000"/>
          <w:sz w:val="24"/>
          <w:szCs w:val="24"/>
        </w:rPr>
        <w:t>noticed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variation</w:t>
      </w:r>
      <w:r w:rsidR="00FD25F9" w:rsidRPr="003C2A8E">
        <w:rPr>
          <w:rFonts w:asciiTheme="majorHAnsi" w:hAnsiTheme="majorHAnsi" w:cstheme="minorHAnsi"/>
          <w:color w:val="000000"/>
          <w:sz w:val="24"/>
          <w:szCs w:val="24"/>
        </w:rPr>
        <w:t>s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in </w:t>
      </w:r>
      <w:r w:rsidR="00F16728">
        <w:rPr>
          <w:rFonts w:asciiTheme="majorHAnsi" w:hAnsiTheme="majorHAnsi" w:cstheme="minorHAnsi"/>
          <w:color w:val="000000"/>
          <w:sz w:val="24"/>
          <w:szCs w:val="24"/>
        </w:rPr>
        <w:t xml:space="preserve">the 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histopathological results among different studies in various countries reflect </w:t>
      </w:r>
      <w:r w:rsidR="00F16728">
        <w:rPr>
          <w:rFonts w:asciiTheme="majorHAnsi" w:hAnsiTheme="majorHAnsi" w:cstheme="minorHAnsi"/>
          <w:color w:val="000000"/>
          <w:sz w:val="24"/>
          <w:szCs w:val="24"/>
        </w:rPr>
        <w:t xml:space="preserve">the 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differences present in renal biopsy practices in different centers </w:t>
      </w:r>
      <w:r w:rsidR="00D772D4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in addition to 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>variabilit</w:t>
      </w:r>
      <w:r w:rsidR="00BC01A3">
        <w:rPr>
          <w:rFonts w:asciiTheme="majorHAnsi" w:hAnsiTheme="majorHAnsi" w:cstheme="minorHAnsi"/>
          <w:color w:val="000000"/>
          <w:sz w:val="24"/>
          <w:szCs w:val="24"/>
        </w:rPr>
        <w:t>ies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in ethnic background and </w:t>
      </w:r>
      <w:r w:rsidR="00D772D4" w:rsidRPr="003C2A8E">
        <w:rPr>
          <w:rFonts w:asciiTheme="majorHAnsi" w:hAnsiTheme="majorHAnsi" w:cstheme="minorHAnsi"/>
          <w:color w:val="000000"/>
          <w:sz w:val="24"/>
          <w:szCs w:val="24"/>
        </w:rPr>
        <w:t>environmental circumstances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. </w:t>
      </w:r>
      <w:r w:rsidR="00D772D4" w:rsidRPr="003C2A8E">
        <w:rPr>
          <w:rFonts w:asciiTheme="majorHAnsi" w:hAnsiTheme="majorHAnsi" w:cstheme="minorHAnsi"/>
          <w:color w:val="000000"/>
          <w:sz w:val="24"/>
          <w:szCs w:val="24"/>
        </w:rPr>
        <w:t>Beside to this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, the involved groups in these studies do not have the exact age limits as each other and </w:t>
      </w:r>
      <w:r w:rsidR="00BC01A3">
        <w:rPr>
          <w:rFonts w:asciiTheme="majorHAnsi" w:hAnsiTheme="majorHAnsi" w:cstheme="minorHAnsi"/>
          <w:color w:val="000000"/>
          <w:sz w:val="24"/>
          <w:szCs w:val="24"/>
        </w:rPr>
        <w:t xml:space="preserve">the studies </w:t>
      </w: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were not done in the same time periods. </w:t>
      </w:r>
    </w:p>
    <w:p w:rsidR="005F1D4D" w:rsidRPr="003C2A8E" w:rsidRDefault="001447EF" w:rsidP="00652C48">
      <w:pPr>
        <w:autoSpaceDE w:val="0"/>
        <w:autoSpaceDN w:val="0"/>
        <w:bidi w:val="0"/>
        <w:adjustRightInd w:val="0"/>
        <w:spacing w:before="120" w:after="12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In </w:t>
      </w:r>
      <w:r w:rsidR="00256EA5" w:rsidRPr="003C2A8E">
        <w:rPr>
          <w:rFonts w:asciiTheme="majorHAnsi" w:hAnsiTheme="majorHAnsi" w:cstheme="minorHAnsi"/>
          <w:color w:val="000000"/>
          <w:sz w:val="24"/>
          <w:szCs w:val="24"/>
        </w:rPr>
        <w:t>c</w:t>
      </w:r>
      <w:r w:rsidR="00BE1008" w:rsidRPr="003C2A8E">
        <w:rPr>
          <w:rFonts w:asciiTheme="majorHAnsi" w:hAnsiTheme="majorHAnsi" w:cstheme="minorHAnsi"/>
          <w:color w:val="000000"/>
          <w:sz w:val="24"/>
          <w:szCs w:val="24"/>
        </w:rPr>
        <w:t>onclusion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the demographic features of 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>INS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in our locality </w:t>
      </w:r>
      <w:r w:rsidR="00FD4094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were 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comparable to those worldwide with </w:t>
      </w:r>
      <w:r w:rsidR="00470A8C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its 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>predominance in young</w:t>
      </w:r>
      <w:r w:rsidR="006F1D58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age and male sex. </w:t>
      </w:r>
      <w:r w:rsidR="003F7056" w:rsidRPr="003C2A8E">
        <w:rPr>
          <w:rFonts w:asciiTheme="majorHAnsi" w:hAnsiTheme="majorHAnsi" w:cstheme="minorHAnsi"/>
          <w:color w:val="000000"/>
          <w:sz w:val="24"/>
          <w:szCs w:val="24"/>
        </w:rPr>
        <w:t>Inspite of high response rate in INS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more than half of </w:t>
      </w:r>
      <w:r w:rsidR="003F70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steroid sensitive patients 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>developed steroid dependent or frequently relapsing course.</w:t>
      </w:r>
      <w:r w:rsidR="00591F56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Steroid resistance </w:t>
      </w:r>
      <w:r w:rsidR="00D116CB" w:rsidRPr="003C2A8E">
        <w:rPr>
          <w:rFonts w:asciiTheme="majorHAnsi" w:hAnsiTheme="majorHAnsi" w:cstheme="minorHAnsi"/>
          <w:color w:val="000000"/>
          <w:sz w:val="24"/>
          <w:szCs w:val="24"/>
        </w:rPr>
        <w:t>was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the main indication for renal biopsy </w:t>
      </w:r>
      <w:r w:rsidR="00FD4094" w:rsidRPr="003C2A8E">
        <w:rPr>
          <w:rFonts w:asciiTheme="majorHAnsi" w:hAnsiTheme="majorHAnsi" w:cstheme="minorHAnsi"/>
          <w:color w:val="000000"/>
          <w:sz w:val="24"/>
          <w:szCs w:val="24"/>
        </w:rPr>
        <w:t>and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FSGS </w:t>
      </w:r>
      <w:r w:rsidR="00FD4094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was 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>the most prominent histopatholog</w:t>
      </w:r>
      <w:r w:rsidR="00931CC5">
        <w:rPr>
          <w:rFonts w:asciiTheme="majorHAnsi" w:hAnsiTheme="majorHAnsi" w:cstheme="minorHAnsi"/>
          <w:color w:val="000000"/>
          <w:sz w:val="24"/>
          <w:szCs w:val="24"/>
        </w:rPr>
        <w:t>ical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 type in </w:t>
      </w:r>
      <w:r w:rsidR="00931CC5">
        <w:rPr>
          <w:rFonts w:asciiTheme="majorHAnsi" w:hAnsiTheme="majorHAnsi" w:cstheme="minorHAnsi"/>
          <w:color w:val="000000"/>
          <w:sz w:val="24"/>
          <w:szCs w:val="24"/>
        </w:rPr>
        <w:t xml:space="preserve">our </w:t>
      </w:r>
      <w:r w:rsidR="00553B3D" w:rsidRPr="003C2A8E">
        <w:rPr>
          <w:rFonts w:asciiTheme="majorHAnsi" w:hAnsiTheme="majorHAnsi" w:cstheme="minorHAnsi"/>
          <w:color w:val="000000"/>
          <w:sz w:val="24"/>
          <w:szCs w:val="24"/>
        </w:rPr>
        <w:t xml:space="preserve">biopsied </w:t>
      </w:r>
      <w:r w:rsidR="00E4387B" w:rsidRPr="003C2A8E">
        <w:rPr>
          <w:rFonts w:asciiTheme="majorHAnsi" w:hAnsiTheme="majorHAnsi" w:cstheme="minorHAnsi"/>
          <w:color w:val="000000"/>
          <w:sz w:val="24"/>
          <w:szCs w:val="24"/>
        </w:rPr>
        <w:t>patients.</w:t>
      </w:r>
    </w:p>
    <w:p w:rsidR="00436EBE" w:rsidRPr="002250AC" w:rsidRDefault="00436EBE" w:rsidP="00436EBE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theme="minorHAnsi"/>
          <w:color w:val="000000"/>
          <w:sz w:val="24"/>
          <w:szCs w:val="24"/>
        </w:rPr>
      </w:pPr>
      <w:r w:rsidRPr="00242A0D">
        <w:rPr>
          <w:rFonts w:asciiTheme="majorHAnsi" w:hAnsiTheme="majorHAnsi" w:cstheme="minorHAnsi"/>
          <w:b/>
          <w:bCs/>
          <w:color w:val="000000"/>
          <w:sz w:val="26"/>
          <w:szCs w:val="26"/>
        </w:rPr>
        <w:t>Financial support:</w:t>
      </w:r>
      <w:r w:rsidRPr="00436EBE">
        <w:rPr>
          <w:rFonts w:asciiTheme="majorHAnsi" w:hAnsiTheme="majorHAnsi" w:cstheme="minorHAnsi"/>
          <w:color w:val="000000"/>
          <w:sz w:val="26"/>
          <w:szCs w:val="26"/>
        </w:rPr>
        <w:t xml:space="preserve"> </w:t>
      </w:r>
      <w:r w:rsidRPr="002250AC">
        <w:rPr>
          <w:rFonts w:asciiTheme="majorHAnsi" w:hAnsiTheme="majorHAnsi" w:cstheme="minorHAnsi"/>
          <w:color w:val="000000"/>
          <w:sz w:val="24"/>
          <w:szCs w:val="24"/>
        </w:rPr>
        <w:t>None.</w:t>
      </w:r>
    </w:p>
    <w:p w:rsidR="00436EBE" w:rsidRPr="003C5CA3" w:rsidRDefault="00436EBE" w:rsidP="00436EBE">
      <w:pPr>
        <w:autoSpaceDE w:val="0"/>
        <w:autoSpaceDN w:val="0"/>
        <w:bidi w:val="0"/>
        <w:adjustRightInd w:val="0"/>
        <w:spacing w:before="120" w:after="240" w:line="240" w:lineRule="auto"/>
        <w:jc w:val="both"/>
        <w:rPr>
          <w:rFonts w:asciiTheme="majorHAnsi" w:hAnsiTheme="majorHAnsi" w:cstheme="minorHAnsi"/>
          <w:color w:val="000000"/>
          <w:sz w:val="26"/>
          <w:szCs w:val="26"/>
        </w:rPr>
      </w:pPr>
      <w:r w:rsidRPr="00242A0D">
        <w:rPr>
          <w:rFonts w:asciiTheme="majorHAnsi" w:hAnsiTheme="majorHAnsi" w:cstheme="minorHAnsi"/>
          <w:b/>
          <w:bCs/>
          <w:color w:val="000000"/>
          <w:sz w:val="26"/>
          <w:szCs w:val="26"/>
        </w:rPr>
        <w:t>Conflict of interest statement:</w:t>
      </w:r>
      <w:r w:rsidRPr="00436EBE">
        <w:rPr>
          <w:rFonts w:asciiTheme="majorHAnsi" w:hAnsiTheme="majorHAnsi" w:cstheme="minorHAnsi"/>
          <w:color w:val="000000"/>
          <w:sz w:val="26"/>
          <w:szCs w:val="26"/>
        </w:rPr>
        <w:t xml:space="preserve"> </w:t>
      </w:r>
      <w:r w:rsidRPr="002250AC">
        <w:rPr>
          <w:rFonts w:asciiTheme="majorHAnsi" w:hAnsiTheme="majorHAnsi" w:cstheme="minorHAnsi"/>
          <w:color w:val="000000"/>
          <w:sz w:val="24"/>
          <w:szCs w:val="24"/>
        </w:rPr>
        <w:t>None declared</w:t>
      </w:r>
    </w:p>
    <w:p w:rsidR="00312C80" w:rsidRPr="00FF70E5" w:rsidRDefault="00312C80" w:rsidP="00752A2E">
      <w:pPr>
        <w:autoSpaceDE w:val="0"/>
        <w:autoSpaceDN w:val="0"/>
        <w:bidi w:val="0"/>
        <w:adjustRightInd w:val="0"/>
        <w:spacing w:before="240" w:after="80" w:line="240" w:lineRule="auto"/>
        <w:jc w:val="both"/>
        <w:rPr>
          <w:rFonts w:asciiTheme="majorHAnsi" w:hAnsiTheme="majorHAnsi" w:cstheme="minorHAnsi"/>
          <w:b/>
          <w:bCs/>
          <w:sz w:val="28"/>
          <w:szCs w:val="28"/>
        </w:rPr>
      </w:pPr>
      <w:r w:rsidRPr="00FF70E5">
        <w:rPr>
          <w:rFonts w:asciiTheme="majorHAnsi" w:hAnsiTheme="majorHAnsi" w:cstheme="minorHAnsi"/>
          <w:b/>
          <w:bCs/>
          <w:sz w:val="28"/>
          <w:szCs w:val="28"/>
        </w:rPr>
        <w:t>References</w:t>
      </w:r>
      <w:r w:rsidR="005F1D4D" w:rsidRPr="00FF70E5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</w:p>
    <w:p w:rsidR="002E1357" w:rsidRPr="00680482" w:rsidRDefault="002E1357" w:rsidP="00752A2E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80" w:after="0" w:line="240" w:lineRule="auto"/>
        <w:ind w:left="357" w:hanging="357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McCaffrey J, Lennon R, Webb NJ (2016)</w:t>
      </w:r>
      <w:r w:rsidR="006063CF" w:rsidRPr="00680482">
        <w:rPr>
          <w:rFonts w:asciiTheme="majorHAnsi" w:hAnsiTheme="majorHAnsi" w:cstheme="minorHAnsi"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sz w:val="24"/>
          <w:szCs w:val="24"/>
        </w:rPr>
        <w:t>The non-immunosuppressive management of childhood nephrotic syndrome</w:t>
      </w:r>
      <w:r w:rsidR="00872C9C">
        <w:rPr>
          <w:rFonts w:asciiTheme="majorHAnsi" w:hAnsiTheme="majorHAnsi" w:cstheme="minorHAnsi"/>
          <w:sz w:val="24"/>
          <w:szCs w:val="24"/>
        </w:rPr>
        <w:t>.</w:t>
      </w:r>
      <w:r w:rsidRPr="00680482">
        <w:rPr>
          <w:rFonts w:asciiTheme="majorHAnsi" w:hAnsiTheme="majorHAnsi" w:cstheme="minorHAnsi"/>
          <w:sz w:val="24"/>
          <w:szCs w:val="24"/>
        </w:rPr>
        <w:t xml:space="preserve"> Pediatr Nephrol 31:1383–1402</w:t>
      </w:r>
    </w:p>
    <w:p w:rsidR="002E5B8B" w:rsidRPr="00680482" w:rsidRDefault="00312C80" w:rsidP="008F3E8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120" w:after="240" w:line="240" w:lineRule="auto"/>
        <w:ind w:left="357" w:hanging="357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Chanchlani R, Parekh RS (2016)</w:t>
      </w:r>
      <w:r w:rsidRPr="00680482">
        <w:rPr>
          <w:rFonts w:asciiTheme="majorHAnsi" w:hAnsiTheme="majorHAnsi" w:cstheme="minorHAnsi"/>
          <w:sz w:val="24"/>
          <w:szCs w:val="24"/>
        </w:rPr>
        <w:t xml:space="preserve"> Ethnic Differences in Childhood Nephrotic Syndrome. Frontiers in Pediatrics 4:39</w:t>
      </w:r>
      <w:r w:rsidR="005F1D4D" w:rsidRPr="0068048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E5B8B" w:rsidRPr="00680482" w:rsidRDefault="00312C80" w:rsidP="002E5B8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Pais P, Avner ED:</w:t>
      </w:r>
      <w:r w:rsidRPr="00680482">
        <w:rPr>
          <w:rFonts w:asciiTheme="majorHAnsi" w:hAnsiTheme="majorHAnsi" w:cstheme="minorHAnsi"/>
          <w:sz w:val="24"/>
          <w:szCs w:val="24"/>
        </w:rPr>
        <w:t xml:space="preserve"> Nephrotic syndrome. In: Kliegman RM, Stanton BF, Geme JW, Schor NF editors: Nelson Textbook of pediatrics, 20th ed, Philadelphia, </w:t>
      </w:r>
      <w:bookmarkStart w:id="0" w:name="4-u1.0-B978-1-4377-0755-7..00711-9"/>
      <w:bookmarkStart w:id="1" w:name="4-u1.0-B978-1-4377-0755-7..00711-9--itr0"/>
      <w:bookmarkEnd w:id="0"/>
      <w:bookmarkEnd w:id="1"/>
      <w:r w:rsidRPr="00680482">
        <w:rPr>
          <w:rFonts w:asciiTheme="majorHAnsi" w:hAnsiTheme="majorHAnsi" w:cstheme="minorHAnsi"/>
          <w:sz w:val="24"/>
          <w:szCs w:val="24"/>
        </w:rPr>
        <w:t xml:space="preserve">Elsevier Inc, 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2016</w:t>
      </w:r>
      <w:r w:rsidRPr="00680482">
        <w:rPr>
          <w:rFonts w:asciiTheme="majorHAnsi" w:hAnsiTheme="majorHAnsi" w:cstheme="minorHAnsi"/>
          <w:sz w:val="24"/>
          <w:szCs w:val="24"/>
        </w:rPr>
        <w:t xml:space="preserve">; 527:2521-2527. </w:t>
      </w:r>
    </w:p>
    <w:p w:rsidR="00364563" w:rsidRPr="00680482" w:rsidRDefault="00C027CA" w:rsidP="00364563">
      <w:pPr>
        <w:pStyle w:val="ListParagraph"/>
        <w:numPr>
          <w:ilvl w:val="0"/>
          <w:numId w:val="4"/>
        </w:numPr>
        <w:bidi w:val="0"/>
        <w:spacing w:before="240" w:after="240" w:line="240" w:lineRule="auto"/>
        <w:jc w:val="both"/>
        <w:textAlignment w:val="baseline"/>
        <w:outlineLvl w:val="0"/>
        <w:rPr>
          <w:rFonts w:asciiTheme="majorHAnsi" w:hAnsiTheme="majorHAnsi" w:cstheme="minorHAnsi"/>
          <w:sz w:val="24"/>
          <w:szCs w:val="24"/>
        </w:rPr>
      </w:pPr>
      <w:hyperlink r:id="rId8" w:history="1">
        <w:r w:rsidR="00364563" w:rsidRPr="00680482">
          <w:rPr>
            <w:rFonts w:asciiTheme="majorHAnsi" w:hAnsiTheme="majorHAnsi" w:cstheme="minorHAnsi"/>
            <w:b/>
            <w:bCs/>
            <w:sz w:val="24"/>
            <w:szCs w:val="24"/>
          </w:rPr>
          <w:t>Larkins</w:t>
        </w:r>
      </w:hyperlink>
      <w:r w:rsidR="00364563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N, </w:t>
      </w:r>
      <w:hyperlink r:id="rId9" w:history="1">
        <w:r w:rsidR="00364563" w:rsidRPr="00680482">
          <w:rPr>
            <w:rFonts w:asciiTheme="majorHAnsi" w:hAnsiTheme="majorHAnsi" w:cstheme="minorHAnsi"/>
            <w:b/>
            <w:bCs/>
            <w:sz w:val="24"/>
            <w:szCs w:val="24"/>
          </w:rPr>
          <w:t>Kim</w:t>
        </w:r>
      </w:hyperlink>
      <w:r w:rsidR="00364563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S, </w:t>
      </w:r>
      <w:hyperlink r:id="rId10" w:history="1">
        <w:r w:rsidR="00364563" w:rsidRPr="00680482">
          <w:rPr>
            <w:rFonts w:asciiTheme="majorHAnsi" w:hAnsiTheme="majorHAnsi" w:cstheme="minorHAnsi"/>
            <w:b/>
            <w:bCs/>
            <w:sz w:val="24"/>
            <w:szCs w:val="24"/>
          </w:rPr>
          <w:t>Craig</w:t>
        </w:r>
      </w:hyperlink>
      <w:r w:rsidR="00364563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J, </w:t>
      </w:r>
      <w:hyperlink r:id="rId11" w:history="1">
        <w:r w:rsidR="00364563" w:rsidRPr="00680482">
          <w:rPr>
            <w:rFonts w:asciiTheme="majorHAnsi" w:hAnsiTheme="majorHAnsi" w:cstheme="minorHAnsi"/>
            <w:b/>
            <w:bCs/>
            <w:sz w:val="24"/>
            <w:szCs w:val="24"/>
          </w:rPr>
          <w:t>Hodson</w:t>
        </w:r>
      </w:hyperlink>
      <w:r w:rsidR="00364563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E (2016) </w:t>
      </w:r>
      <w:r w:rsidR="00364563" w:rsidRPr="00680482">
        <w:rPr>
          <w:rFonts w:asciiTheme="majorHAnsi" w:hAnsiTheme="majorHAnsi" w:cstheme="minorHAnsi"/>
          <w:sz w:val="24"/>
          <w:szCs w:val="24"/>
        </w:rPr>
        <w:t>Steroid-sensitive nephrotic syndrome: an evidence-based update of immuno-suppressive treatment in children. Archives of Disease in Childhood 101(4):404-440</w:t>
      </w:r>
    </w:p>
    <w:p w:rsidR="00364563" w:rsidRPr="00680482" w:rsidRDefault="00F607B7" w:rsidP="00CA40F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Sureshkumar P, Hodson EM, Willis NS, Barzi F, Craig JC (2014)</w:t>
      </w:r>
      <w:r w:rsidRPr="00680482">
        <w:rPr>
          <w:rFonts w:asciiTheme="majorHAnsi" w:hAnsiTheme="majorHAnsi" w:cstheme="minorHAnsi"/>
          <w:sz w:val="24"/>
          <w:szCs w:val="24"/>
        </w:rPr>
        <w:t xml:space="preserve"> Predictors of remission and relapse in idiopathic nephrotic syndrome: a prospective cohort study. Pediatr Nephrol 29:1039–1046</w:t>
      </w:r>
      <w:r w:rsidR="00717EBC" w:rsidRPr="0068048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854B35" w:rsidRPr="00680482" w:rsidRDefault="00854B35" w:rsidP="00854B3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ISKDC (International study of Kidney Disease in Children) 1981</w:t>
      </w:r>
      <w:r w:rsidRPr="00680482">
        <w:rPr>
          <w:rFonts w:asciiTheme="majorHAnsi" w:hAnsiTheme="majorHAnsi" w:cstheme="minorHAnsi"/>
          <w:sz w:val="24"/>
          <w:szCs w:val="24"/>
        </w:rPr>
        <w:t xml:space="preserve"> The primary nephrotic syndrome in children: Identification of patients with minimal change nephrotic syndrome from initial response to prednisone. A report of the International Study of Kidney</w:t>
      </w:r>
      <w:r w:rsidR="001A34B1" w:rsidRPr="001A34B1">
        <w:rPr>
          <w:rFonts w:asciiTheme="majorHAnsi" w:hAnsiTheme="majorHAnsi" w:cs="Goudy"/>
          <w:sz w:val="28"/>
          <w:szCs w:val="12"/>
        </w:rPr>
        <w:t xml:space="preserve"> </w:t>
      </w:r>
      <w:r w:rsidR="001A34B1" w:rsidRPr="001A34B1">
        <w:rPr>
          <w:rFonts w:asciiTheme="majorHAnsi" w:hAnsiTheme="majorHAnsi" w:cstheme="minorHAnsi"/>
          <w:sz w:val="24"/>
          <w:szCs w:val="24"/>
        </w:rPr>
        <w:t>Disease in Children</w:t>
      </w:r>
      <w:r w:rsidR="00A471EE">
        <w:rPr>
          <w:rFonts w:asciiTheme="majorHAnsi" w:hAnsiTheme="majorHAnsi" w:cstheme="minorHAnsi"/>
          <w:sz w:val="24"/>
          <w:szCs w:val="24"/>
        </w:rPr>
        <w:t>.</w:t>
      </w:r>
      <w:r w:rsidR="001A34B1" w:rsidRPr="001A34B1">
        <w:rPr>
          <w:rFonts w:asciiTheme="majorHAnsi" w:hAnsiTheme="majorHAnsi" w:cstheme="minorHAnsi"/>
          <w:sz w:val="24"/>
          <w:szCs w:val="24"/>
        </w:rPr>
        <w:t xml:space="preserve"> J Pediatr 98(4):561–564</w:t>
      </w:r>
      <w:r w:rsidR="001A34B1">
        <w:rPr>
          <w:rFonts w:asciiTheme="majorHAnsi" w:hAnsiTheme="majorHAnsi" w:cstheme="minorHAnsi"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sz w:val="24"/>
          <w:szCs w:val="24"/>
        </w:rPr>
        <w:t xml:space="preserve"> </w:t>
      </w:r>
    </w:p>
    <w:p w:rsidR="00854B35" w:rsidRPr="00680482" w:rsidRDefault="0034402A" w:rsidP="00854B3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 xml:space="preserve">Ishikura K, </w:t>
      </w:r>
      <w:r w:rsidR="00854B35" w:rsidRPr="00680482">
        <w:rPr>
          <w:rFonts w:asciiTheme="majorHAnsi" w:hAnsiTheme="majorHAnsi" w:cstheme="minorHAnsi"/>
          <w:b/>
          <w:bCs/>
          <w:sz w:val="24"/>
          <w:szCs w:val="24"/>
        </w:rPr>
        <w:t>Matsumoto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S, </w:t>
      </w:r>
      <w:r w:rsidR="00854B35" w:rsidRPr="00680482">
        <w:rPr>
          <w:rFonts w:asciiTheme="majorHAnsi" w:hAnsiTheme="majorHAnsi" w:cstheme="minorHAnsi"/>
          <w:b/>
          <w:bCs/>
          <w:sz w:val="24"/>
          <w:szCs w:val="24"/>
        </w:rPr>
        <w:t>Sako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M, </w:t>
      </w:r>
      <w:r w:rsidR="00854B35" w:rsidRPr="00680482">
        <w:rPr>
          <w:rFonts w:asciiTheme="majorHAnsi" w:hAnsiTheme="majorHAnsi" w:cstheme="minorHAnsi"/>
          <w:b/>
          <w:bCs/>
          <w:sz w:val="24"/>
          <w:szCs w:val="24"/>
        </w:rPr>
        <w:t>Tsuruga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K</w:t>
      </w:r>
      <w:r w:rsidR="00854B35" w:rsidRPr="00680482">
        <w:rPr>
          <w:rFonts w:asciiTheme="majorHAnsi" w:hAnsiTheme="majorHAnsi" w:cstheme="minorHAnsi"/>
          <w:b/>
          <w:bCs/>
          <w:sz w:val="24"/>
          <w:szCs w:val="24"/>
        </w:rPr>
        <w:t>, et al (2015)</w:t>
      </w:r>
      <w:r w:rsidR="00854B35" w:rsidRPr="00680482">
        <w:rPr>
          <w:rFonts w:asciiTheme="majorHAnsi" w:hAnsiTheme="majorHAnsi" w:cstheme="minorHAnsi"/>
          <w:sz w:val="24"/>
          <w:szCs w:val="24"/>
        </w:rPr>
        <w:t xml:space="preserve"> Clinical practice guideline for pediatric idiopathic nephrotic syndrome 2013: medical therapy. Clin Exp Nephrol 19:6–33</w:t>
      </w:r>
    </w:p>
    <w:p w:rsidR="000D7EA4" w:rsidRPr="00680482" w:rsidRDefault="000D7EA4" w:rsidP="000D7EA4">
      <w:pPr>
        <w:pStyle w:val="ListParagraph"/>
        <w:numPr>
          <w:ilvl w:val="0"/>
          <w:numId w:val="4"/>
        </w:numPr>
        <w:bidi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Kaddah A, Sabry S, Emil E, El-Refaey M (2012)</w:t>
      </w:r>
      <w:r w:rsidRPr="00680482">
        <w:rPr>
          <w:rFonts w:asciiTheme="majorHAnsi" w:hAnsiTheme="majorHAnsi" w:cstheme="minorHAnsi"/>
          <w:sz w:val="24"/>
          <w:szCs w:val="24"/>
          <w:lang w:bidi="ar-EG"/>
        </w:rPr>
        <w:t xml:space="preserve"> </w:t>
      </w:r>
      <w:r w:rsidRPr="00680482">
        <w:rPr>
          <w:rFonts w:asciiTheme="majorHAnsi" w:hAnsiTheme="majorHAnsi" w:cstheme="minorHAnsi"/>
          <w:sz w:val="24"/>
          <w:szCs w:val="24"/>
        </w:rPr>
        <w:t xml:space="preserve">Epidemiology of primary nephrotic syndrome in Egyptian children. </w:t>
      </w:r>
      <w:r w:rsidRPr="00BB29B9">
        <w:rPr>
          <w:rFonts w:asciiTheme="majorHAnsi" w:hAnsiTheme="majorHAnsi" w:cstheme="minorHAnsi"/>
          <w:sz w:val="24"/>
          <w:szCs w:val="24"/>
        </w:rPr>
        <w:t>J Nephrol</w:t>
      </w:r>
      <w:r w:rsidRPr="0068048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sz w:val="24"/>
          <w:szCs w:val="24"/>
        </w:rPr>
        <w:t xml:space="preserve">25 (05):732-737 </w:t>
      </w:r>
    </w:p>
    <w:p w:rsidR="001111CF" w:rsidRPr="00680482" w:rsidRDefault="001111CF" w:rsidP="001111C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Bakr A, Eid R, Sarhan A, Hammad A,  El-Refaey AM, et al</w:t>
      </w:r>
      <w:r w:rsidRPr="00680482">
        <w:rPr>
          <w:rFonts w:asciiTheme="majorHAnsi" w:hAnsiTheme="majorHAnsi" w:cstheme="minorHAnsi"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(2014)</w:t>
      </w:r>
      <w:r w:rsidRPr="00680482">
        <w:rPr>
          <w:rFonts w:asciiTheme="majorHAnsi" w:hAnsiTheme="majorHAnsi" w:cstheme="minorHAnsi"/>
          <w:sz w:val="24"/>
          <w:szCs w:val="24"/>
        </w:rPr>
        <w:t xml:space="preserve"> Pathological profile of biopsied Egyptian children with primary nephrotic syndrome: 15-year single center experience</w:t>
      </w:r>
      <w:r w:rsidR="00EB3678">
        <w:rPr>
          <w:rFonts w:asciiTheme="majorHAnsi" w:hAnsiTheme="majorHAnsi" w:cstheme="minorHAnsi"/>
          <w:sz w:val="24"/>
          <w:szCs w:val="24"/>
        </w:rPr>
        <w:t>.</w:t>
      </w:r>
      <w:r w:rsidRPr="00680482">
        <w:rPr>
          <w:rFonts w:asciiTheme="majorHAnsi" w:hAnsiTheme="majorHAnsi" w:cstheme="minorHAnsi"/>
          <w:sz w:val="24"/>
          <w:szCs w:val="24"/>
        </w:rPr>
        <w:t> </w:t>
      </w:r>
      <w:r w:rsidRPr="00BB29B9">
        <w:rPr>
          <w:rFonts w:asciiTheme="majorHAnsi" w:hAnsiTheme="majorHAnsi" w:cstheme="minorHAnsi"/>
          <w:sz w:val="24"/>
          <w:szCs w:val="24"/>
        </w:rPr>
        <w:t>J Nephrol</w:t>
      </w:r>
      <w:r w:rsidRPr="00680482">
        <w:rPr>
          <w:rFonts w:asciiTheme="majorHAnsi" w:hAnsiTheme="majorHAnsi" w:cstheme="minorHAnsi"/>
          <w:sz w:val="24"/>
          <w:szCs w:val="24"/>
        </w:rPr>
        <w:t xml:space="preserve"> 27(4):419-423</w:t>
      </w:r>
    </w:p>
    <w:p w:rsidR="00C21FF2" w:rsidRPr="00680482" w:rsidRDefault="00C21FF2" w:rsidP="00C21FF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Alharthi AA (2016)</w:t>
      </w:r>
      <w:r w:rsidRPr="00680482">
        <w:rPr>
          <w:rFonts w:asciiTheme="majorHAnsi" w:hAnsiTheme="majorHAnsi" w:cstheme="minorHAnsi"/>
          <w:sz w:val="24"/>
          <w:szCs w:val="24"/>
        </w:rPr>
        <w:t xml:space="preserve"> Patterns of Childhood Steroid-Sensitive and Steroid-Resistant Nephrotic Syndrome in Saudi Children: Clinicopathological Study of 87 Cases. </w:t>
      </w:r>
      <w:r w:rsidRPr="00BB29B9">
        <w:rPr>
          <w:rFonts w:asciiTheme="majorHAnsi" w:hAnsiTheme="majorHAnsi" w:cstheme="minorHAnsi"/>
          <w:sz w:val="24"/>
          <w:szCs w:val="24"/>
        </w:rPr>
        <w:t>Clinical Pediatrics</w:t>
      </w:r>
      <w:r w:rsidRPr="00680482">
        <w:rPr>
          <w:rFonts w:asciiTheme="majorHAnsi" w:hAnsiTheme="majorHAnsi" w:cstheme="minorHAnsi"/>
          <w:sz w:val="24"/>
          <w:szCs w:val="24"/>
        </w:rPr>
        <w:t xml:space="preserve"> 1-7. DOI: 10.1177/0009922816645521 </w:t>
      </w:r>
    </w:p>
    <w:p w:rsidR="001111CF" w:rsidRPr="00680482" w:rsidRDefault="001111CF" w:rsidP="001111C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lastRenderedPageBreak/>
        <w:t xml:space="preserve">Ali SH, Ali AM, Najim AH (2016) </w:t>
      </w:r>
      <w:r w:rsidRPr="00680482">
        <w:rPr>
          <w:rFonts w:asciiTheme="majorHAnsi" w:hAnsiTheme="majorHAnsi" w:cstheme="minorHAnsi"/>
          <w:sz w:val="24"/>
          <w:szCs w:val="24"/>
        </w:rPr>
        <w:t xml:space="preserve">The Predictive Factors for Relapses in Children with Steroid-Sensitive Nephrotic Syndrome. </w:t>
      </w:r>
      <w:r w:rsidRPr="00BB29B9">
        <w:rPr>
          <w:rFonts w:asciiTheme="majorHAnsi" w:hAnsiTheme="majorHAnsi" w:cstheme="minorHAnsi"/>
          <w:sz w:val="24"/>
          <w:szCs w:val="24"/>
        </w:rPr>
        <w:t>Saudi J Kidney Dis Transpl</w:t>
      </w:r>
      <w:r w:rsidRPr="00680482">
        <w:rPr>
          <w:rFonts w:asciiTheme="majorHAnsi" w:hAnsiTheme="majorHAnsi" w:cstheme="minorHAnsi"/>
          <w:sz w:val="24"/>
          <w:szCs w:val="24"/>
        </w:rPr>
        <w:t xml:space="preserve"> 27(1):67-72</w:t>
      </w:r>
    </w:p>
    <w:p w:rsidR="001111CF" w:rsidRPr="00680482" w:rsidRDefault="001111CF" w:rsidP="001111C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Bin-Mohanna M, Bin Alzoa A (2014)</w:t>
      </w:r>
      <w:r w:rsidRPr="00680482">
        <w:rPr>
          <w:rFonts w:asciiTheme="majorHAnsi" w:hAnsiTheme="majorHAnsi" w:cstheme="minorHAnsi"/>
          <w:sz w:val="24"/>
          <w:szCs w:val="24"/>
        </w:rPr>
        <w:t xml:space="preserve"> Pediatric Idiopathic Nephrotic Syndrome in Al-Sabeen Hospital Sana'a City-Yemen. </w:t>
      </w:r>
      <w:r w:rsidRPr="00A447F5">
        <w:rPr>
          <w:rFonts w:asciiTheme="majorHAnsi" w:hAnsiTheme="majorHAnsi" w:cstheme="minorHAnsi"/>
          <w:sz w:val="24"/>
          <w:szCs w:val="24"/>
        </w:rPr>
        <w:t>Hadhramout Journal of</w:t>
      </w:r>
      <w:r w:rsidRPr="0068048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A447F5">
        <w:rPr>
          <w:rFonts w:asciiTheme="majorHAnsi" w:hAnsiTheme="majorHAnsi" w:cstheme="minorHAnsi"/>
          <w:sz w:val="24"/>
          <w:szCs w:val="24"/>
        </w:rPr>
        <w:t>Medical Sciences (HJMS)</w:t>
      </w:r>
      <w:r w:rsidRPr="00680482">
        <w:rPr>
          <w:rFonts w:asciiTheme="majorHAnsi" w:hAnsiTheme="majorHAnsi" w:cstheme="minorHAnsi"/>
          <w:sz w:val="24"/>
          <w:szCs w:val="24"/>
        </w:rPr>
        <w:t xml:space="preserve"> 3(1,2):239-242</w:t>
      </w:r>
    </w:p>
    <w:p w:rsidR="000D7EA4" w:rsidRPr="00680482" w:rsidRDefault="000D7EA4" w:rsidP="000D7EA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Mortazavi F, Khiavi YS (2011)</w:t>
      </w:r>
      <w:r w:rsidRPr="00680482">
        <w:rPr>
          <w:rFonts w:asciiTheme="majorHAnsi" w:hAnsiTheme="majorHAnsi" w:cstheme="minorHAnsi"/>
          <w:sz w:val="24"/>
          <w:szCs w:val="24"/>
        </w:rPr>
        <w:t xml:space="preserve"> Steroid response pattern and outcome of pediatric idiopathic nephrotic syndrome: a single-center experience in northwest Iran. </w:t>
      </w:r>
      <w:r w:rsidRPr="00A447F5">
        <w:rPr>
          <w:rFonts w:asciiTheme="majorHAnsi" w:hAnsiTheme="majorHAnsi" w:cstheme="minorHAnsi"/>
          <w:sz w:val="24"/>
          <w:szCs w:val="24"/>
        </w:rPr>
        <w:t>Therapeutics and Clinical Risk Management</w:t>
      </w:r>
      <w:r w:rsidRPr="00680482">
        <w:rPr>
          <w:rFonts w:asciiTheme="majorHAnsi" w:hAnsiTheme="majorHAnsi" w:cstheme="minorHAnsi"/>
          <w:sz w:val="24"/>
          <w:szCs w:val="24"/>
        </w:rPr>
        <w:t xml:space="preserve"> 7:167–171</w:t>
      </w:r>
    </w:p>
    <w:p w:rsidR="001111CF" w:rsidRPr="00680482" w:rsidRDefault="001111CF" w:rsidP="001111CF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Hacıhamdioğlu DÖ, Kalman S, Gök F (2015)</w:t>
      </w:r>
      <w:r w:rsidRPr="00680482">
        <w:rPr>
          <w:rFonts w:asciiTheme="majorHAnsi" w:hAnsiTheme="majorHAnsi" w:cstheme="minorHAnsi"/>
          <w:sz w:val="24"/>
          <w:szCs w:val="24"/>
        </w:rPr>
        <w:t xml:space="preserve"> Long-term results of children diagnosed with idiopathic nephrotic syndrome; single center experience. </w:t>
      </w:r>
      <w:r w:rsidRPr="00A447F5">
        <w:rPr>
          <w:rFonts w:asciiTheme="majorHAnsi" w:hAnsiTheme="majorHAnsi" w:cstheme="minorHAnsi"/>
          <w:sz w:val="24"/>
          <w:szCs w:val="24"/>
        </w:rPr>
        <w:t>Türk Ped Arş</w:t>
      </w:r>
      <w:r w:rsidRPr="00680482">
        <w:rPr>
          <w:rFonts w:asciiTheme="majorHAnsi" w:hAnsiTheme="majorHAnsi" w:cstheme="minorHAnsi"/>
          <w:sz w:val="24"/>
          <w:szCs w:val="24"/>
        </w:rPr>
        <w:t xml:space="preserve"> 50:37-44 </w:t>
      </w:r>
    </w:p>
    <w:p w:rsidR="000D7EA4" w:rsidRPr="00680482" w:rsidRDefault="000D7EA4" w:rsidP="000D7EA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Wong W (2007)</w:t>
      </w:r>
      <w:r w:rsidRPr="00680482">
        <w:rPr>
          <w:rFonts w:asciiTheme="majorHAnsi" w:hAnsiTheme="majorHAnsi" w:cstheme="minorHAnsi"/>
          <w:sz w:val="24"/>
          <w:szCs w:val="24"/>
        </w:rPr>
        <w:t xml:space="preserve"> Idiopathic nephrotic syndrome in New Zealand children, demographic, clinical features, initial management and outcome after twelve-month follow-up: Results of a three-year national surveillance study. </w:t>
      </w:r>
      <w:r w:rsidRPr="00AA2373">
        <w:rPr>
          <w:rFonts w:asciiTheme="majorHAnsi" w:hAnsiTheme="majorHAnsi" w:cstheme="minorHAnsi"/>
          <w:sz w:val="24"/>
          <w:szCs w:val="24"/>
        </w:rPr>
        <w:t>Journal of Paediatrics and Child Health</w:t>
      </w:r>
      <w:r w:rsidRPr="00680482">
        <w:rPr>
          <w:rFonts w:asciiTheme="majorHAnsi" w:hAnsiTheme="majorHAnsi" w:cstheme="minorHAnsi"/>
          <w:sz w:val="24"/>
          <w:szCs w:val="24"/>
        </w:rPr>
        <w:t xml:space="preserve"> 43:337–341</w:t>
      </w:r>
    </w:p>
    <w:p w:rsidR="00A34D60" w:rsidRPr="00674BBC" w:rsidRDefault="00A34D60" w:rsidP="00A34D60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82D12">
        <w:rPr>
          <w:rFonts w:asciiTheme="majorHAnsi" w:hAnsiTheme="majorHAnsi" w:cstheme="minorHAnsi"/>
          <w:b/>
          <w:bCs/>
          <w:sz w:val="24"/>
          <w:szCs w:val="24"/>
        </w:rPr>
        <w:t>Zhou TB, Lin N, Qin YH, Liu YG (2014)</w:t>
      </w:r>
      <w:r w:rsidRPr="00674BBC">
        <w:rPr>
          <w:rFonts w:asciiTheme="majorHAnsi" w:hAnsiTheme="majorHAnsi" w:cstheme="minorHAnsi"/>
          <w:sz w:val="24"/>
          <w:szCs w:val="24"/>
        </w:rPr>
        <w:t xml:space="preserve">  Distribution of Pathological Finding in the Children with Nephrotic Syndrome from Guangxi. Saudi J Kidney Dis Transpl 25(3):684-688 </w:t>
      </w:r>
    </w:p>
    <w:p w:rsidR="007E7E37" w:rsidRPr="00680482" w:rsidRDefault="007E7E37" w:rsidP="007E7E3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Niaudet P, Boyer O:</w:t>
      </w:r>
      <w:r w:rsidRPr="00680482">
        <w:rPr>
          <w:rFonts w:asciiTheme="majorHAnsi" w:hAnsiTheme="majorHAnsi" w:cstheme="minorHAnsi"/>
          <w:sz w:val="24"/>
          <w:szCs w:val="24"/>
        </w:rPr>
        <w:t xml:space="preserve"> Idiopathic nephrotic syndrome in childhood: clinical aspects. In: Avner ED, Harmon WE, Niaudet P, Yoshikawa N editors: </w:t>
      </w:r>
      <w:r w:rsidRPr="00AA2373">
        <w:rPr>
          <w:rFonts w:asciiTheme="majorHAnsi" w:hAnsiTheme="majorHAnsi" w:cstheme="minorHAnsi"/>
          <w:sz w:val="24"/>
          <w:szCs w:val="24"/>
        </w:rPr>
        <w:t>Pediatric Nephrology. 6th</w:t>
      </w:r>
      <w:r w:rsidRPr="00680482">
        <w:rPr>
          <w:rFonts w:asciiTheme="majorHAnsi" w:hAnsiTheme="majorHAnsi" w:cstheme="minorHAnsi"/>
          <w:sz w:val="24"/>
          <w:szCs w:val="24"/>
        </w:rPr>
        <w:t xml:space="preserve"> ed. Germany: Springer-Verlag, 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2009</w:t>
      </w:r>
      <w:r w:rsidRPr="00680482">
        <w:rPr>
          <w:rFonts w:asciiTheme="majorHAnsi" w:hAnsiTheme="majorHAnsi" w:cstheme="minorHAnsi"/>
          <w:sz w:val="24"/>
          <w:szCs w:val="24"/>
        </w:rPr>
        <w:t xml:space="preserve">; 667-702. </w:t>
      </w:r>
    </w:p>
    <w:p w:rsidR="007E7E37" w:rsidRPr="00AA2373" w:rsidRDefault="007E7E37" w:rsidP="007E7E37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Pais, Ellis, Avner ED: Nephrotic syndrome. </w:t>
      </w:r>
      <w:r w:rsidRPr="00680482">
        <w:rPr>
          <w:rFonts w:asciiTheme="majorHAnsi" w:hAnsiTheme="majorHAnsi" w:cstheme="minorHAnsi"/>
          <w:sz w:val="24"/>
          <w:szCs w:val="24"/>
        </w:rPr>
        <w:t xml:space="preserve">In: Kliegman RM, Stanton BF, Geme JW, Schor NF, Behrman RE, editors: </w:t>
      </w:r>
      <w:r w:rsidRPr="00AA2373">
        <w:rPr>
          <w:rFonts w:asciiTheme="majorHAnsi" w:hAnsiTheme="majorHAnsi" w:cstheme="minorHAnsi"/>
          <w:sz w:val="24"/>
          <w:szCs w:val="24"/>
        </w:rPr>
        <w:t xml:space="preserve">Nelson Textbook of pediatrics 19th ed, Philadelphia, Elsevier Saunders, </w:t>
      </w:r>
      <w:r w:rsidRPr="00AA2373">
        <w:rPr>
          <w:rFonts w:asciiTheme="majorHAnsi" w:hAnsiTheme="majorHAnsi" w:cstheme="minorHAnsi"/>
          <w:b/>
          <w:bCs/>
          <w:sz w:val="24"/>
          <w:szCs w:val="24"/>
        </w:rPr>
        <w:t>2011</w:t>
      </w:r>
      <w:r w:rsidRPr="00AA2373">
        <w:rPr>
          <w:rFonts w:asciiTheme="majorHAnsi" w:hAnsiTheme="majorHAnsi" w:cstheme="minorHAnsi"/>
          <w:sz w:val="24"/>
          <w:szCs w:val="24"/>
        </w:rPr>
        <w:t xml:space="preserve">; 521:1801-1807. </w:t>
      </w:r>
    </w:p>
    <w:p w:rsidR="00CC5092" w:rsidRPr="00680482" w:rsidRDefault="00C027CA" w:rsidP="00CC509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hyperlink r:id="rId12" w:history="1">
        <w:r w:rsidR="00CC5092" w:rsidRPr="00680482">
          <w:rPr>
            <w:rFonts w:asciiTheme="majorHAnsi" w:hAnsiTheme="majorHAnsi" w:cstheme="minorHAnsi"/>
            <w:b/>
            <w:bCs/>
            <w:sz w:val="24"/>
            <w:szCs w:val="24"/>
          </w:rPr>
          <w:t>Bagga</w:t>
        </w:r>
      </w:hyperlink>
      <w:r w:rsidR="00CC5092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A (2008)</w:t>
      </w:r>
      <w:r w:rsidR="00CC5092" w:rsidRPr="00680482">
        <w:rPr>
          <w:rFonts w:asciiTheme="majorHAnsi" w:hAnsiTheme="majorHAnsi" w:cstheme="minorHAnsi"/>
          <w:sz w:val="24"/>
          <w:szCs w:val="24"/>
        </w:rPr>
        <w:t xml:space="preserve"> Revised guidelines for management of steroid-sensitive nephrotic syndrome. </w:t>
      </w:r>
      <w:r w:rsidR="00CC5092" w:rsidRPr="00AA2373">
        <w:rPr>
          <w:rFonts w:asciiTheme="majorHAnsi" w:hAnsiTheme="majorHAnsi" w:cstheme="minorHAnsi"/>
          <w:sz w:val="24"/>
          <w:szCs w:val="24"/>
        </w:rPr>
        <w:t>Indian J Nephrol</w:t>
      </w:r>
      <w:r w:rsidR="00CC5092" w:rsidRPr="00680482">
        <w:rPr>
          <w:rFonts w:asciiTheme="majorHAnsi" w:hAnsiTheme="majorHAnsi" w:cstheme="minorHAnsi"/>
          <w:sz w:val="24"/>
          <w:szCs w:val="24"/>
        </w:rPr>
        <w:t xml:space="preserve"> 18(1):31–39</w:t>
      </w:r>
      <w:r w:rsidR="00CC5092"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:rsidR="00D203C3" w:rsidRPr="00680482" w:rsidRDefault="00D203C3" w:rsidP="00D203C3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KDIGO (Kidney Disease Improving Global Outcomes)</w:t>
      </w:r>
      <w:r w:rsidRPr="00680482">
        <w:rPr>
          <w:rFonts w:asciiTheme="majorHAnsi" w:hAnsiTheme="majorHAnsi" w:cstheme="minorHAnsi"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Glomerulonephritis Work Group 2012</w:t>
      </w:r>
      <w:r w:rsidRPr="00680482">
        <w:rPr>
          <w:rFonts w:asciiTheme="majorHAnsi" w:hAnsiTheme="majorHAnsi" w:cstheme="minorHAnsi"/>
          <w:sz w:val="24"/>
          <w:szCs w:val="24"/>
        </w:rPr>
        <w:t xml:space="preserve">: KDIGO clinical practice guideline for glomerulonephritis. </w:t>
      </w:r>
      <w:r w:rsidRPr="00AA2373">
        <w:rPr>
          <w:rFonts w:asciiTheme="majorHAnsi" w:hAnsiTheme="majorHAnsi" w:cstheme="minorHAnsi"/>
          <w:sz w:val="24"/>
          <w:szCs w:val="24"/>
        </w:rPr>
        <w:t>Kidney Int Suppl</w:t>
      </w:r>
      <w:r w:rsidRPr="00680482">
        <w:rPr>
          <w:rFonts w:asciiTheme="majorHAnsi" w:hAnsiTheme="majorHAnsi" w:cstheme="minorHAnsi"/>
          <w:sz w:val="24"/>
          <w:szCs w:val="24"/>
        </w:rPr>
        <w:t xml:space="preserve"> 2:139-274</w:t>
      </w:r>
    </w:p>
    <w:p w:rsidR="00903A94" w:rsidRPr="00680482" w:rsidRDefault="00903A94" w:rsidP="00903A9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Gipson DS, Massengill SF, Yao L, Nagaraj S, Smoyer WE, Mahan JD, et al (2009)</w:t>
      </w:r>
      <w:r w:rsidRPr="00680482">
        <w:rPr>
          <w:rFonts w:asciiTheme="majorHAnsi" w:hAnsiTheme="majorHAnsi" w:cstheme="minorHAnsi"/>
          <w:sz w:val="24"/>
          <w:szCs w:val="24"/>
        </w:rPr>
        <w:t xml:space="preserve"> Management of childhood onset nephrotic syndrome. </w:t>
      </w:r>
      <w:r w:rsidRPr="00223D61">
        <w:rPr>
          <w:rFonts w:asciiTheme="majorHAnsi" w:hAnsiTheme="majorHAnsi" w:cstheme="minorHAnsi"/>
          <w:sz w:val="24"/>
          <w:szCs w:val="24"/>
        </w:rPr>
        <w:t xml:space="preserve">Pediatrics </w:t>
      </w:r>
      <w:r w:rsidRPr="00680482">
        <w:rPr>
          <w:rFonts w:asciiTheme="majorHAnsi" w:hAnsiTheme="majorHAnsi" w:cstheme="minorHAnsi"/>
          <w:sz w:val="24"/>
          <w:szCs w:val="24"/>
        </w:rPr>
        <w:t>124(2):747–757</w:t>
      </w:r>
    </w:p>
    <w:p w:rsidR="00B842C5" w:rsidRPr="00680482" w:rsidRDefault="00B842C5" w:rsidP="00B842C5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Valentini RP, Smoyer WE:</w:t>
      </w:r>
      <w:r w:rsidR="00D97E9A" w:rsidRPr="00680482">
        <w:rPr>
          <w:rFonts w:asciiTheme="majorHAnsi" w:hAnsiTheme="majorHAnsi" w:cstheme="minorHAnsi"/>
          <w:sz w:val="24"/>
          <w:szCs w:val="24"/>
        </w:rPr>
        <w:t xml:space="preserve"> Nephrotic </w:t>
      </w:r>
      <w:r w:rsidRPr="00680482">
        <w:rPr>
          <w:rFonts w:asciiTheme="majorHAnsi" w:hAnsiTheme="majorHAnsi" w:cstheme="minorHAnsi"/>
          <w:sz w:val="24"/>
          <w:szCs w:val="24"/>
        </w:rPr>
        <w:t xml:space="preserve">syndrome. In: Kher KK, Schnaper HW, Makker SP, editors: </w:t>
      </w:r>
      <w:r w:rsidRPr="00223D61">
        <w:rPr>
          <w:rFonts w:asciiTheme="majorHAnsi" w:hAnsiTheme="majorHAnsi" w:cstheme="minorHAnsi"/>
          <w:sz w:val="24"/>
          <w:szCs w:val="24"/>
        </w:rPr>
        <w:t>Clinical Pediatric Nephrology</w:t>
      </w:r>
      <w:r w:rsidRPr="00680482">
        <w:rPr>
          <w:rFonts w:asciiTheme="majorHAnsi" w:hAnsiTheme="majorHAnsi" w:cstheme="minorHAnsi"/>
          <w:i/>
          <w:iCs/>
          <w:sz w:val="24"/>
          <w:szCs w:val="24"/>
        </w:rPr>
        <w:t>.</w:t>
      </w:r>
      <w:r w:rsidRPr="00680482">
        <w:rPr>
          <w:rFonts w:asciiTheme="majorHAnsi" w:hAnsiTheme="majorHAnsi" w:cstheme="minorHAnsi"/>
          <w:sz w:val="24"/>
          <w:szCs w:val="24"/>
        </w:rPr>
        <w:t xml:space="preserve"> Second edition, Informa Healthcare, 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2007</w:t>
      </w:r>
      <w:r w:rsidRPr="00680482">
        <w:rPr>
          <w:rFonts w:asciiTheme="majorHAnsi" w:hAnsiTheme="majorHAnsi" w:cstheme="minorHAnsi"/>
          <w:sz w:val="24"/>
          <w:szCs w:val="24"/>
        </w:rPr>
        <w:t xml:space="preserve">; 11:155-194. </w:t>
      </w:r>
    </w:p>
    <w:p w:rsidR="000D7EA4" w:rsidRPr="00680482" w:rsidRDefault="000D7EA4" w:rsidP="000D7EA4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Mendonça AC, Oliveira EA, Fróe BP, Faria LD, et al (2015)</w:t>
      </w:r>
      <w:r w:rsidRPr="00680482">
        <w:rPr>
          <w:rFonts w:asciiTheme="majorHAnsi" w:hAnsiTheme="majorHAnsi" w:cstheme="minorHAnsi"/>
          <w:sz w:val="24"/>
          <w:szCs w:val="24"/>
        </w:rPr>
        <w:t xml:space="preserve"> A predictive model of progressive chronic kidney disease in idiopathic nephrotic syndrome. </w:t>
      </w:r>
      <w:r w:rsidRPr="00223D61">
        <w:rPr>
          <w:rFonts w:asciiTheme="majorHAnsi" w:hAnsiTheme="majorHAnsi" w:cstheme="minorHAnsi"/>
          <w:sz w:val="24"/>
          <w:szCs w:val="24"/>
        </w:rPr>
        <w:t>Pediatr Nephrol</w:t>
      </w:r>
      <w:r w:rsidRPr="00680482">
        <w:rPr>
          <w:rFonts w:asciiTheme="majorHAnsi" w:hAnsiTheme="majorHAnsi" w:cstheme="minorHAnsi"/>
          <w:sz w:val="24"/>
          <w:szCs w:val="24"/>
        </w:rPr>
        <w:t xml:space="preserve"> 30:2011–2020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:rsidR="00D541A5" w:rsidRPr="00680482" w:rsidRDefault="00D541A5" w:rsidP="00D541A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Inaba A, Hamasaki Y, Ishikura K, Hamada R, Sakai T, et al (2016)</w:t>
      </w:r>
      <w:r w:rsidRPr="00680482">
        <w:rPr>
          <w:rFonts w:asciiTheme="majorHAnsi" w:hAnsiTheme="majorHAnsi" w:cstheme="minorHAnsi"/>
          <w:sz w:val="24"/>
          <w:szCs w:val="24"/>
        </w:rPr>
        <w:t xml:space="preserve"> Long-term outcome of idiopathic steroid-resistant nephrotic syndrome in children. </w:t>
      </w:r>
      <w:r w:rsidRPr="00223D61">
        <w:rPr>
          <w:rFonts w:asciiTheme="majorHAnsi" w:hAnsiTheme="majorHAnsi" w:cstheme="minorHAnsi"/>
          <w:sz w:val="24"/>
          <w:szCs w:val="24"/>
        </w:rPr>
        <w:t>Pediatr Nephrol</w:t>
      </w:r>
      <w:r w:rsidRPr="00680482">
        <w:rPr>
          <w:rFonts w:asciiTheme="majorHAnsi" w:hAnsiTheme="majorHAnsi" w:cstheme="minorHAnsi"/>
          <w:sz w:val="24"/>
          <w:szCs w:val="24"/>
        </w:rPr>
        <w:t xml:space="preserve"> 31:425–434</w:t>
      </w:r>
    </w:p>
    <w:p w:rsidR="00634915" w:rsidRPr="00680482" w:rsidRDefault="00634915" w:rsidP="0063491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>Gbadegesin R, Gibson KL, Smoyer WE</w:t>
      </w:r>
      <w:r w:rsidRPr="00680482">
        <w:rPr>
          <w:rFonts w:asciiTheme="majorHAnsi" w:hAnsiTheme="majorHAnsi" w:cstheme="minorHAnsi"/>
          <w:sz w:val="24"/>
          <w:szCs w:val="24"/>
        </w:rPr>
        <w:t xml:space="preserve">: Steroid resistant Nephrotic Syndrome. In: Geary DF, Schaefer F Editors: </w:t>
      </w:r>
      <w:r w:rsidRPr="00C96E11">
        <w:rPr>
          <w:rFonts w:asciiTheme="majorHAnsi" w:hAnsiTheme="majorHAnsi" w:cstheme="minorHAnsi"/>
          <w:sz w:val="24"/>
          <w:szCs w:val="24"/>
        </w:rPr>
        <w:t>Pediatric Kidney Disease,</w:t>
      </w:r>
      <w:r w:rsidRPr="00680482">
        <w:rPr>
          <w:rFonts w:asciiTheme="majorHAnsi" w:hAnsiTheme="majorHAnsi" w:cstheme="minorHAnsi"/>
          <w:sz w:val="24"/>
          <w:szCs w:val="24"/>
        </w:rPr>
        <w:t xml:space="preserve"> Second Edition, Springer-Verlag Berlin Heidelberg </w:t>
      </w:r>
      <w:r w:rsidRPr="00680482">
        <w:rPr>
          <w:rFonts w:asciiTheme="majorHAnsi" w:hAnsiTheme="majorHAnsi" w:cstheme="minorHAnsi"/>
          <w:b/>
          <w:bCs/>
          <w:sz w:val="24"/>
          <w:szCs w:val="24"/>
        </w:rPr>
        <w:t>2016</w:t>
      </w:r>
      <w:r w:rsidRPr="00680482">
        <w:rPr>
          <w:rFonts w:asciiTheme="majorHAnsi" w:hAnsiTheme="majorHAnsi" w:cstheme="minorHAnsi"/>
          <w:sz w:val="24"/>
          <w:szCs w:val="24"/>
        </w:rPr>
        <w:t>; 16:455-478.</w:t>
      </w:r>
    </w:p>
    <w:p w:rsidR="00911C51" w:rsidRPr="00680482" w:rsidRDefault="00911C51" w:rsidP="00911C5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t xml:space="preserve">Andersen RF, Thrane N, Noergaard K, Rytter L, Jespersen B, Rittig S (2010) </w:t>
      </w:r>
      <w:r w:rsidRPr="00680482">
        <w:rPr>
          <w:rFonts w:asciiTheme="majorHAnsi" w:hAnsiTheme="majorHAnsi" w:cstheme="minorHAnsi"/>
          <w:sz w:val="24"/>
          <w:szCs w:val="24"/>
        </w:rPr>
        <w:t xml:space="preserve">Early age at debut is a predictor of steroid-dependent and frequent relapsing nephrotic syndrome. </w:t>
      </w:r>
      <w:r w:rsidRPr="00762728">
        <w:rPr>
          <w:rFonts w:asciiTheme="majorHAnsi" w:hAnsiTheme="majorHAnsi" w:cstheme="minorHAnsi"/>
          <w:sz w:val="24"/>
          <w:szCs w:val="24"/>
        </w:rPr>
        <w:t>Pediatr Nephrol</w:t>
      </w:r>
      <w:r w:rsidRPr="00680482">
        <w:rPr>
          <w:rFonts w:asciiTheme="majorHAnsi" w:hAnsiTheme="majorHAnsi" w:cstheme="minorHAnsi"/>
          <w:i/>
          <w:iCs/>
          <w:sz w:val="24"/>
          <w:szCs w:val="24"/>
        </w:rPr>
        <w:t xml:space="preserve"> </w:t>
      </w:r>
      <w:r w:rsidRPr="00680482">
        <w:rPr>
          <w:rFonts w:asciiTheme="majorHAnsi" w:hAnsiTheme="majorHAnsi" w:cstheme="minorHAnsi"/>
          <w:sz w:val="24"/>
          <w:szCs w:val="24"/>
        </w:rPr>
        <w:t>25(7):1299–1304</w:t>
      </w:r>
    </w:p>
    <w:p w:rsidR="00911C51" w:rsidRPr="00680482" w:rsidRDefault="00911C51" w:rsidP="00911C5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680482">
        <w:rPr>
          <w:rFonts w:asciiTheme="majorHAnsi" w:hAnsiTheme="majorHAnsi" w:cstheme="minorHAnsi"/>
          <w:b/>
          <w:bCs/>
          <w:sz w:val="24"/>
          <w:szCs w:val="24"/>
        </w:rPr>
        <w:lastRenderedPageBreak/>
        <w:t>Letavernier B, Letavernier E, Leroy S, Baudet-Bonneville V, Bensman A, Ulinski T (2008)</w:t>
      </w:r>
      <w:r w:rsidRPr="00680482">
        <w:rPr>
          <w:rFonts w:asciiTheme="majorHAnsi" w:hAnsiTheme="majorHAnsi" w:cstheme="minorHAnsi"/>
          <w:sz w:val="24"/>
          <w:szCs w:val="24"/>
        </w:rPr>
        <w:t xml:space="preserve"> Prediction of high-degree steroid dependency in pediatric idiopathic nephrotic syndrome. Pediatr Nephrol 23(12):2221–2226</w:t>
      </w:r>
    </w:p>
    <w:p w:rsidR="00212A3A" w:rsidRPr="00212A3A" w:rsidRDefault="00C027CA" w:rsidP="00212A3A">
      <w:pPr>
        <w:pStyle w:val="ListParagraph"/>
        <w:numPr>
          <w:ilvl w:val="0"/>
          <w:numId w:val="4"/>
        </w:numPr>
        <w:bidi w:val="0"/>
        <w:spacing w:before="240" w:after="240" w:line="240" w:lineRule="auto"/>
        <w:jc w:val="both"/>
        <w:outlineLvl w:val="0"/>
        <w:rPr>
          <w:rFonts w:asciiTheme="majorHAnsi" w:hAnsiTheme="majorHAnsi" w:cstheme="minorHAnsi"/>
          <w:sz w:val="24"/>
          <w:szCs w:val="24"/>
        </w:rPr>
      </w:pPr>
      <w:hyperlink r:id="rId13" w:history="1">
        <w:r w:rsidR="00212A3A" w:rsidRPr="00470F9B">
          <w:rPr>
            <w:rFonts w:asciiTheme="majorHAnsi" w:hAnsiTheme="majorHAnsi" w:cstheme="minorHAnsi"/>
            <w:b/>
            <w:bCs/>
            <w:sz w:val="24"/>
            <w:szCs w:val="24"/>
          </w:rPr>
          <w:t>Arif</w:t>
        </w:r>
      </w:hyperlink>
      <w:r w:rsidR="00212A3A" w:rsidRPr="00470F9B">
        <w:rPr>
          <w:rFonts w:asciiTheme="majorHAnsi" w:hAnsiTheme="majorHAnsi" w:cstheme="minorHAnsi"/>
          <w:b/>
          <w:bCs/>
          <w:sz w:val="24"/>
          <w:szCs w:val="24"/>
        </w:rPr>
        <w:t xml:space="preserve"> MK, </w:t>
      </w:r>
      <w:hyperlink r:id="rId14" w:history="1">
        <w:r w:rsidR="00212A3A" w:rsidRPr="00470F9B">
          <w:rPr>
            <w:rFonts w:asciiTheme="majorHAnsi" w:hAnsiTheme="majorHAnsi" w:cstheme="minorHAnsi"/>
            <w:b/>
            <w:bCs/>
            <w:sz w:val="24"/>
            <w:szCs w:val="24"/>
          </w:rPr>
          <w:t>Arif</w:t>
        </w:r>
      </w:hyperlink>
      <w:r w:rsidR="00212A3A" w:rsidRPr="00470F9B">
        <w:rPr>
          <w:rFonts w:asciiTheme="majorHAnsi" w:hAnsiTheme="majorHAnsi" w:cstheme="minorHAnsi"/>
          <w:b/>
          <w:bCs/>
          <w:sz w:val="24"/>
          <w:szCs w:val="24"/>
        </w:rPr>
        <w:t xml:space="preserve"> M, </w:t>
      </w:r>
      <w:hyperlink r:id="rId15" w:history="1">
        <w:r w:rsidR="00212A3A" w:rsidRPr="00470F9B">
          <w:rPr>
            <w:rFonts w:asciiTheme="majorHAnsi" w:hAnsiTheme="majorHAnsi" w:cstheme="minorHAnsi"/>
            <w:b/>
            <w:bCs/>
            <w:sz w:val="24"/>
            <w:szCs w:val="24"/>
          </w:rPr>
          <w:t>Amjad</w:t>
        </w:r>
      </w:hyperlink>
      <w:r w:rsidR="00212A3A" w:rsidRPr="00470F9B">
        <w:rPr>
          <w:rFonts w:asciiTheme="majorHAnsi" w:hAnsiTheme="majorHAnsi" w:cstheme="minorHAnsi"/>
          <w:b/>
          <w:bCs/>
          <w:sz w:val="24"/>
          <w:szCs w:val="24"/>
        </w:rPr>
        <w:t xml:space="preserve"> N (2016)</w:t>
      </w:r>
      <w:r w:rsidR="00212A3A" w:rsidRPr="00212A3A">
        <w:rPr>
          <w:rFonts w:asciiTheme="majorHAnsi" w:hAnsiTheme="majorHAnsi" w:cstheme="minorHAnsi"/>
          <w:sz w:val="24"/>
          <w:szCs w:val="24"/>
        </w:rPr>
        <w:t xml:space="preserve"> A histopathological outlook on nephrotic syndrome: A pediatric perspective. </w:t>
      </w:r>
      <w:hyperlink r:id="rId16" w:history="1">
        <w:r w:rsidR="00212A3A" w:rsidRPr="00212A3A">
          <w:rPr>
            <w:rFonts w:asciiTheme="majorHAnsi" w:hAnsiTheme="majorHAnsi" w:cstheme="minorHAnsi"/>
            <w:sz w:val="24"/>
            <w:szCs w:val="24"/>
          </w:rPr>
          <w:t>Indian J Nephrol</w:t>
        </w:r>
      </w:hyperlink>
      <w:r w:rsidR="00212A3A" w:rsidRPr="00212A3A">
        <w:rPr>
          <w:rFonts w:asciiTheme="majorHAnsi" w:hAnsiTheme="majorHAnsi" w:cstheme="minorHAnsi"/>
          <w:sz w:val="24"/>
          <w:szCs w:val="24"/>
        </w:rPr>
        <w:t xml:space="preserve"> 26(3):188–191</w:t>
      </w:r>
    </w:p>
    <w:p w:rsidR="00654D63" w:rsidRPr="0023137B" w:rsidRDefault="00654D63" w:rsidP="00654D63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23137B">
        <w:rPr>
          <w:rFonts w:asciiTheme="majorHAnsi" w:hAnsiTheme="majorHAnsi" w:cstheme="minorHAnsi"/>
          <w:b/>
          <w:bCs/>
          <w:sz w:val="24"/>
          <w:szCs w:val="24"/>
        </w:rPr>
        <w:t>Kari JA (2002)</w:t>
      </w:r>
      <w:r w:rsidRPr="0023137B">
        <w:rPr>
          <w:rFonts w:asciiTheme="majorHAnsi" w:hAnsiTheme="majorHAnsi" w:cstheme="minorHAnsi"/>
          <w:sz w:val="24"/>
          <w:szCs w:val="24"/>
        </w:rPr>
        <w:t xml:space="preserve"> Changing trends of histopathology in childhood nephrotic syndrome in western Saudia Arabia. Saudia Med J 23:317–321</w:t>
      </w:r>
    </w:p>
    <w:p w:rsidR="00E354BD" w:rsidRPr="00E354BD" w:rsidRDefault="00E354BD" w:rsidP="00E354BD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E354BD">
        <w:rPr>
          <w:rFonts w:asciiTheme="majorHAnsi" w:hAnsiTheme="majorHAnsi" w:cstheme="minorHAnsi"/>
          <w:b/>
          <w:bCs/>
          <w:sz w:val="24"/>
          <w:szCs w:val="24"/>
        </w:rPr>
        <w:t>Asinobi AO, Ademola AD, Okolo CA, Yaria JO (2015)</w:t>
      </w:r>
      <w:r w:rsidRPr="00E354BD">
        <w:rPr>
          <w:rFonts w:asciiTheme="majorHAnsi" w:hAnsiTheme="majorHAnsi" w:cstheme="minorHAnsi"/>
          <w:sz w:val="24"/>
          <w:szCs w:val="24"/>
        </w:rPr>
        <w:t xml:space="preserve"> Trends in the histopathology of childhood nephrotic syndrome in Ibadan Nigeria: preponderance of idiopathic focal segmental glomerulosclerosis. BMC Nephrology 16:213</w:t>
      </w:r>
    </w:p>
    <w:p w:rsidR="00674BBC" w:rsidRPr="00674BBC" w:rsidRDefault="00674BBC" w:rsidP="00674BB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before="240" w:after="2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82D12">
        <w:rPr>
          <w:rFonts w:asciiTheme="majorHAnsi" w:hAnsiTheme="majorHAnsi" w:cstheme="minorHAnsi"/>
          <w:b/>
          <w:bCs/>
          <w:sz w:val="24"/>
          <w:szCs w:val="24"/>
        </w:rPr>
        <w:t>Mubarak M, Lanewala A, Kazi JI, Akhter F, Sher A, Fayyaz A, Bhatti S (2009)</w:t>
      </w:r>
      <w:r w:rsidRPr="00674BBC">
        <w:rPr>
          <w:rFonts w:asciiTheme="majorHAnsi" w:hAnsiTheme="majorHAnsi" w:cstheme="minorHAnsi"/>
          <w:sz w:val="24"/>
          <w:szCs w:val="24"/>
        </w:rPr>
        <w:t xml:space="preserve"> Histopathological spectrum of childhood nephrotic syndrome in Pakistan. Clin Exp Nephrol 13(6):589–593</w:t>
      </w:r>
    </w:p>
    <w:p w:rsidR="00C74EF8" w:rsidRPr="00FD1498" w:rsidRDefault="00C74EF8" w:rsidP="00B51E80">
      <w:pPr>
        <w:bidi w:val="0"/>
        <w:spacing w:before="120"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365F52" w:rsidRPr="00FD1498" w:rsidRDefault="00365F52" w:rsidP="004F38C1">
      <w:pPr>
        <w:bidi w:val="0"/>
        <w:spacing w:before="120" w:after="120" w:line="240" w:lineRule="auto"/>
        <w:jc w:val="right"/>
        <w:rPr>
          <w:rFonts w:asciiTheme="majorHAnsi" w:hAnsiTheme="majorHAnsi" w:cstheme="minorHAnsi"/>
          <w:sz w:val="24"/>
          <w:szCs w:val="24"/>
        </w:rPr>
      </w:pPr>
    </w:p>
    <w:p w:rsidR="0085650E" w:rsidRPr="00FD1498" w:rsidRDefault="0085650E" w:rsidP="0085650E">
      <w:pPr>
        <w:bidi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2529B0" w:rsidRPr="00FD1498" w:rsidRDefault="002529B0" w:rsidP="002529B0">
      <w:pPr>
        <w:bidi w:val="0"/>
        <w:spacing w:before="240" w:after="240" w:line="240" w:lineRule="auto"/>
        <w:rPr>
          <w:rFonts w:asciiTheme="majorHAnsi" w:hAnsiTheme="majorHAnsi" w:cstheme="minorHAnsi"/>
          <w:sz w:val="24"/>
          <w:szCs w:val="24"/>
        </w:rPr>
      </w:pPr>
    </w:p>
    <w:p w:rsidR="002E41FA" w:rsidRPr="00FD1498" w:rsidRDefault="002E41FA" w:rsidP="002E41FA">
      <w:pPr>
        <w:bidi w:val="0"/>
        <w:spacing w:before="240" w:after="240" w:line="240" w:lineRule="auto"/>
        <w:rPr>
          <w:rFonts w:asciiTheme="majorHAnsi" w:hAnsiTheme="majorHAnsi" w:cstheme="minorHAnsi"/>
          <w:sz w:val="24"/>
          <w:szCs w:val="24"/>
        </w:rPr>
      </w:pPr>
    </w:p>
    <w:p w:rsidR="00B40086" w:rsidRPr="00FD1498" w:rsidRDefault="00B40086" w:rsidP="00B40086">
      <w:pPr>
        <w:bidi w:val="0"/>
        <w:spacing w:before="240" w:after="240" w:line="240" w:lineRule="auto"/>
        <w:rPr>
          <w:rFonts w:asciiTheme="majorHAnsi" w:hAnsiTheme="majorHAnsi" w:cstheme="minorHAnsi"/>
          <w:sz w:val="24"/>
          <w:szCs w:val="24"/>
        </w:rPr>
      </w:pPr>
    </w:p>
    <w:sectPr w:rsidR="00B40086" w:rsidRPr="00FD1498" w:rsidSect="00BD53D6">
      <w:foot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4DD" w:rsidRDefault="00DB74DD" w:rsidP="00A00AB5">
      <w:pPr>
        <w:spacing w:after="0" w:line="240" w:lineRule="auto"/>
      </w:pPr>
      <w:r>
        <w:separator/>
      </w:r>
    </w:p>
  </w:endnote>
  <w:endnote w:type="continuationSeparator" w:id="1">
    <w:p w:rsidR="00DB74DD" w:rsidRDefault="00DB74DD" w:rsidP="00A0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85672"/>
      <w:docPartObj>
        <w:docPartGallery w:val="Page Numbers (Bottom of Page)"/>
        <w:docPartUnique/>
      </w:docPartObj>
    </w:sdtPr>
    <w:sdtContent>
      <w:p w:rsidR="001101A4" w:rsidRDefault="00C027CA" w:rsidP="007B24F7">
        <w:pPr>
          <w:pStyle w:val="Footer"/>
          <w:bidi w:val="0"/>
          <w:jc w:val="center"/>
        </w:pPr>
        <w:fldSimple w:instr=" PAGE   \* MERGEFORMAT ">
          <w:r w:rsidR="00B41AC0">
            <w:rPr>
              <w:noProof/>
            </w:rPr>
            <w:t>3</w:t>
          </w:r>
        </w:fldSimple>
      </w:p>
    </w:sdtContent>
  </w:sdt>
  <w:p w:rsidR="001101A4" w:rsidRDefault="00110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4DD" w:rsidRDefault="00DB74DD" w:rsidP="00A00AB5">
      <w:pPr>
        <w:spacing w:after="0" w:line="240" w:lineRule="auto"/>
      </w:pPr>
      <w:r>
        <w:separator/>
      </w:r>
    </w:p>
  </w:footnote>
  <w:footnote w:type="continuationSeparator" w:id="1">
    <w:p w:rsidR="00DB74DD" w:rsidRDefault="00DB74DD" w:rsidP="00A0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76B"/>
    <w:multiLevelType w:val="hybridMultilevel"/>
    <w:tmpl w:val="F28A5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F134EF"/>
    <w:multiLevelType w:val="hybridMultilevel"/>
    <w:tmpl w:val="CB82F3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90536"/>
    <w:multiLevelType w:val="hybridMultilevel"/>
    <w:tmpl w:val="4C76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33931"/>
    <w:multiLevelType w:val="hybridMultilevel"/>
    <w:tmpl w:val="974A7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34D8"/>
    <w:rsid w:val="00003A4F"/>
    <w:rsid w:val="00003F9D"/>
    <w:rsid w:val="00004042"/>
    <w:rsid w:val="000048F1"/>
    <w:rsid w:val="00006785"/>
    <w:rsid w:val="000101F8"/>
    <w:rsid w:val="000118C5"/>
    <w:rsid w:val="00011D5E"/>
    <w:rsid w:val="000131E1"/>
    <w:rsid w:val="00013629"/>
    <w:rsid w:val="000171C1"/>
    <w:rsid w:val="000204ED"/>
    <w:rsid w:val="000225AD"/>
    <w:rsid w:val="0002317D"/>
    <w:rsid w:val="00027805"/>
    <w:rsid w:val="00031B77"/>
    <w:rsid w:val="00032C34"/>
    <w:rsid w:val="00033CC2"/>
    <w:rsid w:val="00034393"/>
    <w:rsid w:val="00035A18"/>
    <w:rsid w:val="00040469"/>
    <w:rsid w:val="00040757"/>
    <w:rsid w:val="0004203D"/>
    <w:rsid w:val="0004480C"/>
    <w:rsid w:val="00051481"/>
    <w:rsid w:val="00054004"/>
    <w:rsid w:val="0005766A"/>
    <w:rsid w:val="0006117A"/>
    <w:rsid w:val="000611B8"/>
    <w:rsid w:val="00061240"/>
    <w:rsid w:val="00061A6F"/>
    <w:rsid w:val="000625E1"/>
    <w:rsid w:val="000659C3"/>
    <w:rsid w:val="00067D51"/>
    <w:rsid w:val="000706B4"/>
    <w:rsid w:val="000751FB"/>
    <w:rsid w:val="00077956"/>
    <w:rsid w:val="00080BB1"/>
    <w:rsid w:val="00080C09"/>
    <w:rsid w:val="000861CD"/>
    <w:rsid w:val="00086600"/>
    <w:rsid w:val="00086BC0"/>
    <w:rsid w:val="00087B42"/>
    <w:rsid w:val="0009021D"/>
    <w:rsid w:val="00090306"/>
    <w:rsid w:val="00090BDF"/>
    <w:rsid w:val="00090FEC"/>
    <w:rsid w:val="00094E5C"/>
    <w:rsid w:val="00095D9F"/>
    <w:rsid w:val="00096D29"/>
    <w:rsid w:val="0009789C"/>
    <w:rsid w:val="000A00C5"/>
    <w:rsid w:val="000A0C1C"/>
    <w:rsid w:val="000A69CF"/>
    <w:rsid w:val="000B1CAC"/>
    <w:rsid w:val="000B3723"/>
    <w:rsid w:val="000B5749"/>
    <w:rsid w:val="000B76AE"/>
    <w:rsid w:val="000C0B9A"/>
    <w:rsid w:val="000C0C8A"/>
    <w:rsid w:val="000C19AF"/>
    <w:rsid w:val="000C29BB"/>
    <w:rsid w:val="000C4576"/>
    <w:rsid w:val="000C4AFA"/>
    <w:rsid w:val="000C6154"/>
    <w:rsid w:val="000C7779"/>
    <w:rsid w:val="000D02CB"/>
    <w:rsid w:val="000D3BF8"/>
    <w:rsid w:val="000D553D"/>
    <w:rsid w:val="000D599A"/>
    <w:rsid w:val="000D6EC1"/>
    <w:rsid w:val="000D764C"/>
    <w:rsid w:val="000D7CF8"/>
    <w:rsid w:val="000D7EA4"/>
    <w:rsid w:val="000E5F67"/>
    <w:rsid w:val="000E65EE"/>
    <w:rsid w:val="000F02B3"/>
    <w:rsid w:val="000F1D39"/>
    <w:rsid w:val="000F44BA"/>
    <w:rsid w:val="000F65E9"/>
    <w:rsid w:val="000F69F8"/>
    <w:rsid w:val="000F70AB"/>
    <w:rsid w:val="00100F82"/>
    <w:rsid w:val="00102B33"/>
    <w:rsid w:val="00102FE3"/>
    <w:rsid w:val="001035F1"/>
    <w:rsid w:val="001047CA"/>
    <w:rsid w:val="00104B9E"/>
    <w:rsid w:val="001101A4"/>
    <w:rsid w:val="001111CF"/>
    <w:rsid w:val="00113E35"/>
    <w:rsid w:val="00114CAB"/>
    <w:rsid w:val="00116755"/>
    <w:rsid w:val="0012184D"/>
    <w:rsid w:val="00121A58"/>
    <w:rsid w:val="00127584"/>
    <w:rsid w:val="00130E9A"/>
    <w:rsid w:val="0013270D"/>
    <w:rsid w:val="00132CC3"/>
    <w:rsid w:val="00134253"/>
    <w:rsid w:val="00135967"/>
    <w:rsid w:val="00137F13"/>
    <w:rsid w:val="00140CC0"/>
    <w:rsid w:val="00143676"/>
    <w:rsid w:val="00144680"/>
    <w:rsid w:val="001447EF"/>
    <w:rsid w:val="00144CB9"/>
    <w:rsid w:val="00145AA2"/>
    <w:rsid w:val="001470B3"/>
    <w:rsid w:val="0014768D"/>
    <w:rsid w:val="0015189B"/>
    <w:rsid w:val="001537F5"/>
    <w:rsid w:val="00153AEC"/>
    <w:rsid w:val="00156695"/>
    <w:rsid w:val="00161B94"/>
    <w:rsid w:val="00161F59"/>
    <w:rsid w:val="001620A3"/>
    <w:rsid w:val="00162707"/>
    <w:rsid w:val="0016503F"/>
    <w:rsid w:val="00166B8C"/>
    <w:rsid w:val="00166ED3"/>
    <w:rsid w:val="00170F32"/>
    <w:rsid w:val="00172FD2"/>
    <w:rsid w:val="00173FD1"/>
    <w:rsid w:val="00174F36"/>
    <w:rsid w:val="00176AA6"/>
    <w:rsid w:val="001815E4"/>
    <w:rsid w:val="00183D13"/>
    <w:rsid w:val="001903AD"/>
    <w:rsid w:val="00192478"/>
    <w:rsid w:val="00192FA8"/>
    <w:rsid w:val="001A055D"/>
    <w:rsid w:val="001A34B1"/>
    <w:rsid w:val="001A51BC"/>
    <w:rsid w:val="001A7E89"/>
    <w:rsid w:val="001A7FE0"/>
    <w:rsid w:val="001B1292"/>
    <w:rsid w:val="001B3065"/>
    <w:rsid w:val="001B3CDE"/>
    <w:rsid w:val="001B5DAD"/>
    <w:rsid w:val="001C1A0B"/>
    <w:rsid w:val="001C4472"/>
    <w:rsid w:val="001C5FC0"/>
    <w:rsid w:val="001D41C2"/>
    <w:rsid w:val="001D4216"/>
    <w:rsid w:val="001D5B19"/>
    <w:rsid w:val="001D78D9"/>
    <w:rsid w:val="001D7CB6"/>
    <w:rsid w:val="001E2838"/>
    <w:rsid w:val="001E3923"/>
    <w:rsid w:val="001E42BF"/>
    <w:rsid w:val="001E432D"/>
    <w:rsid w:val="001E448B"/>
    <w:rsid w:val="001E464B"/>
    <w:rsid w:val="001E762A"/>
    <w:rsid w:val="001E79BC"/>
    <w:rsid w:val="001E7E57"/>
    <w:rsid w:val="001F1FA4"/>
    <w:rsid w:val="001F1FC0"/>
    <w:rsid w:val="001F236E"/>
    <w:rsid w:val="001F3973"/>
    <w:rsid w:val="001F4894"/>
    <w:rsid w:val="001F701C"/>
    <w:rsid w:val="0020137E"/>
    <w:rsid w:val="00201509"/>
    <w:rsid w:val="00202EA2"/>
    <w:rsid w:val="00207F3B"/>
    <w:rsid w:val="0021090F"/>
    <w:rsid w:val="00212A3A"/>
    <w:rsid w:val="00214C35"/>
    <w:rsid w:val="00215017"/>
    <w:rsid w:val="00215B96"/>
    <w:rsid w:val="002164F5"/>
    <w:rsid w:val="002166D4"/>
    <w:rsid w:val="00216B6E"/>
    <w:rsid w:val="00217AB8"/>
    <w:rsid w:val="00220A30"/>
    <w:rsid w:val="00220C47"/>
    <w:rsid w:val="0022298D"/>
    <w:rsid w:val="00222FE2"/>
    <w:rsid w:val="00223D61"/>
    <w:rsid w:val="002250AC"/>
    <w:rsid w:val="00225DBC"/>
    <w:rsid w:val="00227540"/>
    <w:rsid w:val="0022791A"/>
    <w:rsid w:val="0023122F"/>
    <w:rsid w:val="0023137B"/>
    <w:rsid w:val="00232B3C"/>
    <w:rsid w:val="00233242"/>
    <w:rsid w:val="00235F3C"/>
    <w:rsid w:val="0023654F"/>
    <w:rsid w:val="00240ADB"/>
    <w:rsid w:val="00242A0D"/>
    <w:rsid w:val="002452E0"/>
    <w:rsid w:val="00245B59"/>
    <w:rsid w:val="002504E3"/>
    <w:rsid w:val="00251977"/>
    <w:rsid w:val="002529B0"/>
    <w:rsid w:val="00252A4B"/>
    <w:rsid w:val="00254E1A"/>
    <w:rsid w:val="00256EA5"/>
    <w:rsid w:val="00257376"/>
    <w:rsid w:val="00257625"/>
    <w:rsid w:val="002604D3"/>
    <w:rsid w:val="0026113B"/>
    <w:rsid w:val="00262ADF"/>
    <w:rsid w:val="00264DF2"/>
    <w:rsid w:val="0026545D"/>
    <w:rsid w:val="00265849"/>
    <w:rsid w:val="00265A84"/>
    <w:rsid w:val="00272342"/>
    <w:rsid w:val="00272E30"/>
    <w:rsid w:val="0027452F"/>
    <w:rsid w:val="00284231"/>
    <w:rsid w:val="00284F0D"/>
    <w:rsid w:val="00287BD5"/>
    <w:rsid w:val="00292E45"/>
    <w:rsid w:val="00292E50"/>
    <w:rsid w:val="00296963"/>
    <w:rsid w:val="002A0302"/>
    <w:rsid w:val="002A1312"/>
    <w:rsid w:val="002A183B"/>
    <w:rsid w:val="002A2C0E"/>
    <w:rsid w:val="002A36E3"/>
    <w:rsid w:val="002A4696"/>
    <w:rsid w:val="002A610C"/>
    <w:rsid w:val="002A620D"/>
    <w:rsid w:val="002B2BE3"/>
    <w:rsid w:val="002B3B0D"/>
    <w:rsid w:val="002B4534"/>
    <w:rsid w:val="002B4871"/>
    <w:rsid w:val="002B51BE"/>
    <w:rsid w:val="002B76E1"/>
    <w:rsid w:val="002B7D39"/>
    <w:rsid w:val="002C1ECA"/>
    <w:rsid w:val="002C537E"/>
    <w:rsid w:val="002C6D99"/>
    <w:rsid w:val="002D1845"/>
    <w:rsid w:val="002D22CF"/>
    <w:rsid w:val="002D2EBB"/>
    <w:rsid w:val="002D727E"/>
    <w:rsid w:val="002D7957"/>
    <w:rsid w:val="002E01A7"/>
    <w:rsid w:val="002E1357"/>
    <w:rsid w:val="002E3000"/>
    <w:rsid w:val="002E41FA"/>
    <w:rsid w:val="002E49A2"/>
    <w:rsid w:val="002E4A96"/>
    <w:rsid w:val="002E5427"/>
    <w:rsid w:val="002E5B8B"/>
    <w:rsid w:val="002E5D1A"/>
    <w:rsid w:val="002E72AF"/>
    <w:rsid w:val="002F0945"/>
    <w:rsid w:val="002F0F3A"/>
    <w:rsid w:val="002F1AA0"/>
    <w:rsid w:val="002F21A5"/>
    <w:rsid w:val="002F25F6"/>
    <w:rsid w:val="002F50DA"/>
    <w:rsid w:val="002F590F"/>
    <w:rsid w:val="002F76BB"/>
    <w:rsid w:val="00300507"/>
    <w:rsid w:val="00300655"/>
    <w:rsid w:val="00300B84"/>
    <w:rsid w:val="003013D6"/>
    <w:rsid w:val="00301E69"/>
    <w:rsid w:val="0030228C"/>
    <w:rsid w:val="003051CF"/>
    <w:rsid w:val="00305A3D"/>
    <w:rsid w:val="0031097C"/>
    <w:rsid w:val="00310E58"/>
    <w:rsid w:val="00310EF2"/>
    <w:rsid w:val="0031157E"/>
    <w:rsid w:val="00312917"/>
    <w:rsid w:val="00312C80"/>
    <w:rsid w:val="003130DF"/>
    <w:rsid w:val="0031612A"/>
    <w:rsid w:val="003172FB"/>
    <w:rsid w:val="0032197F"/>
    <w:rsid w:val="0032350E"/>
    <w:rsid w:val="0032414D"/>
    <w:rsid w:val="00325BCD"/>
    <w:rsid w:val="0032631F"/>
    <w:rsid w:val="003279C0"/>
    <w:rsid w:val="00330E6C"/>
    <w:rsid w:val="003312FE"/>
    <w:rsid w:val="00332AE8"/>
    <w:rsid w:val="00341174"/>
    <w:rsid w:val="00342B2C"/>
    <w:rsid w:val="0034402A"/>
    <w:rsid w:val="00345E58"/>
    <w:rsid w:val="00346756"/>
    <w:rsid w:val="00351889"/>
    <w:rsid w:val="003518DE"/>
    <w:rsid w:val="00351EA7"/>
    <w:rsid w:val="003535D6"/>
    <w:rsid w:val="00353F4F"/>
    <w:rsid w:val="003547AD"/>
    <w:rsid w:val="00354FDC"/>
    <w:rsid w:val="00355D3E"/>
    <w:rsid w:val="00356CF3"/>
    <w:rsid w:val="003620F1"/>
    <w:rsid w:val="00363FF0"/>
    <w:rsid w:val="00364563"/>
    <w:rsid w:val="00364EE4"/>
    <w:rsid w:val="00365F52"/>
    <w:rsid w:val="00367A20"/>
    <w:rsid w:val="00372C8B"/>
    <w:rsid w:val="0037711A"/>
    <w:rsid w:val="00377262"/>
    <w:rsid w:val="00377DE2"/>
    <w:rsid w:val="00383840"/>
    <w:rsid w:val="00383A69"/>
    <w:rsid w:val="00383AE7"/>
    <w:rsid w:val="0038436A"/>
    <w:rsid w:val="00384515"/>
    <w:rsid w:val="003866D2"/>
    <w:rsid w:val="00390261"/>
    <w:rsid w:val="00390F90"/>
    <w:rsid w:val="00391117"/>
    <w:rsid w:val="003928DE"/>
    <w:rsid w:val="003940B8"/>
    <w:rsid w:val="00397CD7"/>
    <w:rsid w:val="003A1864"/>
    <w:rsid w:val="003A3A9E"/>
    <w:rsid w:val="003A476B"/>
    <w:rsid w:val="003A5345"/>
    <w:rsid w:val="003A577B"/>
    <w:rsid w:val="003A5FD2"/>
    <w:rsid w:val="003A6D22"/>
    <w:rsid w:val="003A6DE6"/>
    <w:rsid w:val="003B0384"/>
    <w:rsid w:val="003B1E7B"/>
    <w:rsid w:val="003B2449"/>
    <w:rsid w:val="003B255E"/>
    <w:rsid w:val="003B26F4"/>
    <w:rsid w:val="003B47C1"/>
    <w:rsid w:val="003B607A"/>
    <w:rsid w:val="003B6C76"/>
    <w:rsid w:val="003C1305"/>
    <w:rsid w:val="003C2A8E"/>
    <w:rsid w:val="003C484C"/>
    <w:rsid w:val="003C4A36"/>
    <w:rsid w:val="003C5CA3"/>
    <w:rsid w:val="003C633F"/>
    <w:rsid w:val="003C6E18"/>
    <w:rsid w:val="003C7088"/>
    <w:rsid w:val="003D0A93"/>
    <w:rsid w:val="003D0E90"/>
    <w:rsid w:val="003D1AFC"/>
    <w:rsid w:val="003D1FE8"/>
    <w:rsid w:val="003D3C8A"/>
    <w:rsid w:val="003D47E2"/>
    <w:rsid w:val="003D584E"/>
    <w:rsid w:val="003D5A77"/>
    <w:rsid w:val="003E0F32"/>
    <w:rsid w:val="003E1B67"/>
    <w:rsid w:val="003E2AC9"/>
    <w:rsid w:val="003E3151"/>
    <w:rsid w:val="003E4DE1"/>
    <w:rsid w:val="003E52F7"/>
    <w:rsid w:val="003E552E"/>
    <w:rsid w:val="003E723A"/>
    <w:rsid w:val="003F1201"/>
    <w:rsid w:val="003F4EBD"/>
    <w:rsid w:val="003F55BC"/>
    <w:rsid w:val="003F7056"/>
    <w:rsid w:val="004010A7"/>
    <w:rsid w:val="0040317F"/>
    <w:rsid w:val="0040497D"/>
    <w:rsid w:val="00404F9E"/>
    <w:rsid w:val="00405D1F"/>
    <w:rsid w:val="00407D7C"/>
    <w:rsid w:val="00413324"/>
    <w:rsid w:val="00414CFE"/>
    <w:rsid w:val="004154C1"/>
    <w:rsid w:val="004222FA"/>
    <w:rsid w:val="00423B9F"/>
    <w:rsid w:val="00425684"/>
    <w:rsid w:val="00426702"/>
    <w:rsid w:val="004273B4"/>
    <w:rsid w:val="00432DD4"/>
    <w:rsid w:val="00434F6A"/>
    <w:rsid w:val="004356F7"/>
    <w:rsid w:val="00436EBE"/>
    <w:rsid w:val="0044036A"/>
    <w:rsid w:val="0044536B"/>
    <w:rsid w:val="004459EC"/>
    <w:rsid w:val="00446280"/>
    <w:rsid w:val="0045106B"/>
    <w:rsid w:val="00452711"/>
    <w:rsid w:val="00453B9B"/>
    <w:rsid w:val="0045515F"/>
    <w:rsid w:val="00456B15"/>
    <w:rsid w:val="00457CA2"/>
    <w:rsid w:val="00462278"/>
    <w:rsid w:val="00462D86"/>
    <w:rsid w:val="00463320"/>
    <w:rsid w:val="00463F91"/>
    <w:rsid w:val="00464A36"/>
    <w:rsid w:val="00466352"/>
    <w:rsid w:val="00466D31"/>
    <w:rsid w:val="0047070C"/>
    <w:rsid w:val="00470995"/>
    <w:rsid w:val="00470A8C"/>
    <w:rsid w:val="00470B5C"/>
    <w:rsid w:val="00470F9B"/>
    <w:rsid w:val="00471F45"/>
    <w:rsid w:val="0047221B"/>
    <w:rsid w:val="004727F2"/>
    <w:rsid w:val="00472D62"/>
    <w:rsid w:val="0047302D"/>
    <w:rsid w:val="00473513"/>
    <w:rsid w:val="0047485B"/>
    <w:rsid w:val="00481C1D"/>
    <w:rsid w:val="004820AC"/>
    <w:rsid w:val="00483EFA"/>
    <w:rsid w:val="00483FFE"/>
    <w:rsid w:val="0048525E"/>
    <w:rsid w:val="00493EB3"/>
    <w:rsid w:val="00494A7F"/>
    <w:rsid w:val="004A2076"/>
    <w:rsid w:val="004A236A"/>
    <w:rsid w:val="004A48FD"/>
    <w:rsid w:val="004A57A0"/>
    <w:rsid w:val="004A795A"/>
    <w:rsid w:val="004A7D8F"/>
    <w:rsid w:val="004B05D0"/>
    <w:rsid w:val="004B118D"/>
    <w:rsid w:val="004B1391"/>
    <w:rsid w:val="004B1595"/>
    <w:rsid w:val="004B16B8"/>
    <w:rsid w:val="004B1A69"/>
    <w:rsid w:val="004B289C"/>
    <w:rsid w:val="004B3929"/>
    <w:rsid w:val="004B5528"/>
    <w:rsid w:val="004B559A"/>
    <w:rsid w:val="004B5B06"/>
    <w:rsid w:val="004C04F7"/>
    <w:rsid w:val="004C1CD7"/>
    <w:rsid w:val="004C3380"/>
    <w:rsid w:val="004C4F73"/>
    <w:rsid w:val="004D08CC"/>
    <w:rsid w:val="004D0D3B"/>
    <w:rsid w:val="004D0E2D"/>
    <w:rsid w:val="004D29D6"/>
    <w:rsid w:val="004D5836"/>
    <w:rsid w:val="004E167B"/>
    <w:rsid w:val="004E3891"/>
    <w:rsid w:val="004E4EFE"/>
    <w:rsid w:val="004F0344"/>
    <w:rsid w:val="004F097F"/>
    <w:rsid w:val="004F1101"/>
    <w:rsid w:val="004F246E"/>
    <w:rsid w:val="004F2843"/>
    <w:rsid w:val="004F2D15"/>
    <w:rsid w:val="004F2D40"/>
    <w:rsid w:val="004F38C1"/>
    <w:rsid w:val="004F3A15"/>
    <w:rsid w:val="004F4439"/>
    <w:rsid w:val="004F4E9C"/>
    <w:rsid w:val="004F57BF"/>
    <w:rsid w:val="004F5E14"/>
    <w:rsid w:val="004F7272"/>
    <w:rsid w:val="004F7676"/>
    <w:rsid w:val="004F78BA"/>
    <w:rsid w:val="00501FE6"/>
    <w:rsid w:val="00504320"/>
    <w:rsid w:val="005077EE"/>
    <w:rsid w:val="00510C8E"/>
    <w:rsid w:val="00513127"/>
    <w:rsid w:val="0051337C"/>
    <w:rsid w:val="0051554B"/>
    <w:rsid w:val="00521391"/>
    <w:rsid w:val="00524537"/>
    <w:rsid w:val="005249FC"/>
    <w:rsid w:val="00524B9C"/>
    <w:rsid w:val="00524F8B"/>
    <w:rsid w:val="005251F4"/>
    <w:rsid w:val="0052575F"/>
    <w:rsid w:val="005258FA"/>
    <w:rsid w:val="00525DC3"/>
    <w:rsid w:val="00525E98"/>
    <w:rsid w:val="00527542"/>
    <w:rsid w:val="00532C02"/>
    <w:rsid w:val="00535786"/>
    <w:rsid w:val="00540C13"/>
    <w:rsid w:val="00541172"/>
    <w:rsid w:val="0054526F"/>
    <w:rsid w:val="00546035"/>
    <w:rsid w:val="00546438"/>
    <w:rsid w:val="0055034B"/>
    <w:rsid w:val="00553B3D"/>
    <w:rsid w:val="00555321"/>
    <w:rsid w:val="00557A4F"/>
    <w:rsid w:val="00563765"/>
    <w:rsid w:val="005643B4"/>
    <w:rsid w:val="0056516C"/>
    <w:rsid w:val="005669E5"/>
    <w:rsid w:val="00571512"/>
    <w:rsid w:val="00573546"/>
    <w:rsid w:val="005752BA"/>
    <w:rsid w:val="005764C9"/>
    <w:rsid w:val="005767D7"/>
    <w:rsid w:val="00576F9B"/>
    <w:rsid w:val="00577123"/>
    <w:rsid w:val="00580E8A"/>
    <w:rsid w:val="00581956"/>
    <w:rsid w:val="00583666"/>
    <w:rsid w:val="005845A3"/>
    <w:rsid w:val="00586E97"/>
    <w:rsid w:val="0059015E"/>
    <w:rsid w:val="005909F4"/>
    <w:rsid w:val="00591F56"/>
    <w:rsid w:val="00592053"/>
    <w:rsid w:val="005936AF"/>
    <w:rsid w:val="00594A88"/>
    <w:rsid w:val="00594D80"/>
    <w:rsid w:val="00594E86"/>
    <w:rsid w:val="00596F6A"/>
    <w:rsid w:val="005976FB"/>
    <w:rsid w:val="005A0EC6"/>
    <w:rsid w:val="005A4DE6"/>
    <w:rsid w:val="005B01B2"/>
    <w:rsid w:val="005B1638"/>
    <w:rsid w:val="005B40D0"/>
    <w:rsid w:val="005B625A"/>
    <w:rsid w:val="005B6D6D"/>
    <w:rsid w:val="005C05A7"/>
    <w:rsid w:val="005C0FF1"/>
    <w:rsid w:val="005C1849"/>
    <w:rsid w:val="005C540E"/>
    <w:rsid w:val="005C5F04"/>
    <w:rsid w:val="005C629F"/>
    <w:rsid w:val="005D048D"/>
    <w:rsid w:val="005D09F3"/>
    <w:rsid w:val="005D0FD6"/>
    <w:rsid w:val="005D32FD"/>
    <w:rsid w:val="005D3546"/>
    <w:rsid w:val="005D6CA1"/>
    <w:rsid w:val="005D7A37"/>
    <w:rsid w:val="005E0AD4"/>
    <w:rsid w:val="005E0DC8"/>
    <w:rsid w:val="005E233E"/>
    <w:rsid w:val="005E60F3"/>
    <w:rsid w:val="005E70A3"/>
    <w:rsid w:val="005E7B63"/>
    <w:rsid w:val="005F1D4D"/>
    <w:rsid w:val="005F3C70"/>
    <w:rsid w:val="00601588"/>
    <w:rsid w:val="00602603"/>
    <w:rsid w:val="0060286D"/>
    <w:rsid w:val="00603BB0"/>
    <w:rsid w:val="00603F0D"/>
    <w:rsid w:val="0060400D"/>
    <w:rsid w:val="00605FF4"/>
    <w:rsid w:val="0060624F"/>
    <w:rsid w:val="006063CF"/>
    <w:rsid w:val="00607571"/>
    <w:rsid w:val="00610837"/>
    <w:rsid w:val="00610FE7"/>
    <w:rsid w:val="00612771"/>
    <w:rsid w:val="006132D8"/>
    <w:rsid w:val="00613BF0"/>
    <w:rsid w:val="006202D9"/>
    <w:rsid w:val="00623451"/>
    <w:rsid w:val="006243C8"/>
    <w:rsid w:val="00627133"/>
    <w:rsid w:val="006309D4"/>
    <w:rsid w:val="00634915"/>
    <w:rsid w:val="00634BD8"/>
    <w:rsid w:val="00635F93"/>
    <w:rsid w:val="00637BED"/>
    <w:rsid w:val="00643628"/>
    <w:rsid w:val="00645DE4"/>
    <w:rsid w:val="00646B19"/>
    <w:rsid w:val="00650FF4"/>
    <w:rsid w:val="00652C48"/>
    <w:rsid w:val="0065426F"/>
    <w:rsid w:val="00654D63"/>
    <w:rsid w:val="006554AE"/>
    <w:rsid w:val="00655999"/>
    <w:rsid w:val="00655A45"/>
    <w:rsid w:val="00657B90"/>
    <w:rsid w:val="00657CCE"/>
    <w:rsid w:val="00660241"/>
    <w:rsid w:val="00661441"/>
    <w:rsid w:val="006664D5"/>
    <w:rsid w:val="0067115B"/>
    <w:rsid w:val="0067323C"/>
    <w:rsid w:val="00674BBC"/>
    <w:rsid w:val="00674D4E"/>
    <w:rsid w:val="00675484"/>
    <w:rsid w:val="006763CA"/>
    <w:rsid w:val="00680482"/>
    <w:rsid w:val="00681A77"/>
    <w:rsid w:val="0068248C"/>
    <w:rsid w:val="00684146"/>
    <w:rsid w:val="006933DB"/>
    <w:rsid w:val="00694968"/>
    <w:rsid w:val="00695FDE"/>
    <w:rsid w:val="006A2820"/>
    <w:rsid w:val="006A3078"/>
    <w:rsid w:val="006A74C7"/>
    <w:rsid w:val="006B1D0A"/>
    <w:rsid w:val="006B2DE7"/>
    <w:rsid w:val="006B303C"/>
    <w:rsid w:val="006B4ED7"/>
    <w:rsid w:val="006B5A25"/>
    <w:rsid w:val="006B777B"/>
    <w:rsid w:val="006B78CA"/>
    <w:rsid w:val="006C584D"/>
    <w:rsid w:val="006C6837"/>
    <w:rsid w:val="006C7642"/>
    <w:rsid w:val="006C7820"/>
    <w:rsid w:val="006D24C7"/>
    <w:rsid w:val="006D2FD4"/>
    <w:rsid w:val="006D41FB"/>
    <w:rsid w:val="006D4E53"/>
    <w:rsid w:val="006D6ACF"/>
    <w:rsid w:val="006D72F2"/>
    <w:rsid w:val="006E1157"/>
    <w:rsid w:val="006E186E"/>
    <w:rsid w:val="006E1AF8"/>
    <w:rsid w:val="006E1C79"/>
    <w:rsid w:val="006E22A7"/>
    <w:rsid w:val="006E36A0"/>
    <w:rsid w:val="006E3CC0"/>
    <w:rsid w:val="006E5FD6"/>
    <w:rsid w:val="006E7AAC"/>
    <w:rsid w:val="006F1D58"/>
    <w:rsid w:val="006F2CF9"/>
    <w:rsid w:val="006F59DE"/>
    <w:rsid w:val="006F7A88"/>
    <w:rsid w:val="00700310"/>
    <w:rsid w:val="0070203A"/>
    <w:rsid w:val="007023FA"/>
    <w:rsid w:val="00703F5D"/>
    <w:rsid w:val="00704B40"/>
    <w:rsid w:val="00707C15"/>
    <w:rsid w:val="00713B87"/>
    <w:rsid w:val="00717EBC"/>
    <w:rsid w:val="00720091"/>
    <w:rsid w:val="00720433"/>
    <w:rsid w:val="007216C2"/>
    <w:rsid w:val="007219E1"/>
    <w:rsid w:val="00727769"/>
    <w:rsid w:val="00730714"/>
    <w:rsid w:val="00732DDB"/>
    <w:rsid w:val="0073434B"/>
    <w:rsid w:val="0073737E"/>
    <w:rsid w:val="00737C4B"/>
    <w:rsid w:val="00737F95"/>
    <w:rsid w:val="00740D0B"/>
    <w:rsid w:val="00740E7F"/>
    <w:rsid w:val="00743347"/>
    <w:rsid w:val="007459F4"/>
    <w:rsid w:val="00747503"/>
    <w:rsid w:val="007504C1"/>
    <w:rsid w:val="007504C4"/>
    <w:rsid w:val="00750D92"/>
    <w:rsid w:val="00752A2E"/>
    <w:rsid w:val="00761803"/>
    <w:rsid w:val="00761D6D"/>
    <w:rsid w:val="00761FD4"/>
    <w:rsid w:val="00762728"/>
    <w:rsid w:val="00762FDB"/>
    <w:rsid w:val="00765AAC"/>
    <w:rsid w:val="007670CA"/>
    <w:rsid w:val="0077483B"/>
    <w:rsid w:val="00774B1B"/>
    <w:rsid w:val="00775E3D"/>
    <w:rsid w:val="007761F8"/>
    <w:rsid w:val="00776A8B"/>
    <w:rsid w:val="00776FA7"/>
    <w:rsid w:val="00780F5F"/>
    <w:rsid w:val="0078182D"/>
    <w:rsid w:val="0078370F"/>
    <w:rsid w:val="00785ECA"/>
    <w:rsid w:val="00790DF6"/>
    <w:rsid w:val="00791972"/>
    <w:rsid w:val="00793466"/>
    <w:rsid w:val="00796609"/>
    <w:rsid w:val="007A06E8"/>
    <w:rsid w:val="007A22BC"/>
    <w:rsid w:val="007A5CD9"/>
    <w:rsid w:val="007A5EF5"/>
    <w:rsid w:val="007B1B6F"/>
    <w:rsid w:val="007B24F7"/>
    <w:rsid w:val="007B512B"/>
    <w:rsid w:val="007B76CF"/>
    <w:rsid w:val="007C1B4F"/>
    <w:rsid w:val="007C3F86"/>
    <w:rsid w:val="007C51FA"/>
    <w:rsid w:val="007C5FBB"/>
    <w:rsid w:val="007C62AB"/>
    <w:rsid w:val="007D047E"/>
    <w:rsid w:val="007D09EC"/>
    <w:rsid w:val="007D2BE6"/>
    <w:rsid w:val="007D4FD8"/>
    <w:rsid w:val="007D562A"/>
    <w:rsid w:val="007D57E2"/>
    <w:rsid w:val="007D727B"/>
    <w:rsid w:val="007E0F97"/>
    <w:rsid w:val="007E10C6"/>
    <w:rsid w:val="007E1650"/>
    <w:rsid w:val="007E3190"/>
    <w:rsid w:val="007E382A"/>
    <w:rsid w:val="007E557B"/>
    <w:rsid w:val="007E60B5"/>
    <w:rsid w:val="007E6AA7"/>
    <w:rsid w:val="007E6C84"/>
    <w:rsid w:val="007E7E37"/>
    <w:rsid w:val="007F3551"/>
    <w:rsid w:val="007F4980"/>
    <w:rsid w:val="007F6455"/>
    <w:rsid w:val="007F68A9"/>
    <w:rsid w:val="007F72B9"/>
    <w:rsid w:val="007F7DAE"/>
    <w:rsid w:val="00804A34"/>
    <w:rsid w:val="00805098"/>
    <w:rsid w:val="008057E0"/>
    <w:rsid w:val="008064BB"/>
    <w:rsid w:val="00811BCE"/>
    <w:rsid w:val="008158F3"/>
    <w:rsid w:val="00815A82"/>
    <w:rsid w:val="00816BBE"/>
    <w:rsid w:val="008203CF"/>
    <w:rsid w:val="00821241"/>
    <w:rsid w:val="00822ADD"/>
    <w:rsid w:val="0082323A"/>
    <w:rsid w:val="0082415A"/>
    <w:rsid w:val="008253CE"/>
    <w:rsid w:val="008255F4"/>
    <w:rsid w:val="008258FC"/>
    <w:rsid w:val="00827404"/>
    <w:rsid w:val="00831519"/>
    <w:rsid w:val="00832084"/>
    <w:rsid w:val="0083219E"/>
    <w:rsid w:val="00834BFC"/>
    <w:rsid w:val="0083526D"/>
    <w:rsid w:val="00835721"/>
    <w:rsid w:val="00836CBF"/>
    <w:rsid w:val="008409FD"/>
    <w:rsid w:val="00845166"/>
    <w:rsid w:val="0084567D"/>
    <w:rsid w:val="008457B8"/>
    <w:rsid w:val="00851123"/>
    <w:rsid w:val="0085199E"/>
    <w:rsid w:val="00852060"/>
    <w:rsid w:val="008537F7"/>
    <w:rsid w:val="00854B35"/>
    <w:rsid w:val="00855076"/>
    <w:rsid w:val="008561FB"/>
    <w:rsid w:val="0085650E"/>
    <w:rsid w:val="008570D3"/>
    <w:rsid w:val="00857B5D"/>
    <w:rsid w:val="008608E2"/>
    <w:rsid w:val="00861A09"/>
    <w:rsid w:val="00861C67"/>
    <w:rsid w:val="0086258E"/>
    <w:rsid w:val="00864F02"/>
    <w:rsid w:val="008659D2"/>
    <w:rsid w:val="00867E56"/>
    <w:rsid w:val="008711A1"/>
    <w:rsid w:val="00871A38"/>
    <w:rsid w:val="008720BF"/>
    <w:rsid w:val="00872C9C"/>
    <w:rsid w:val="00876DF2"/>
    <w:rsid w:val="00880421"/>
    <w:rsid w:val="00880FC2"/>
    <w:rsid w:val="00881E45"/>
    <w:rsid w:val="00881EDD"/>
    <w:rsid w:val="00882D12"/>
    <w:rsid w:val="00884514"/>
    <w:rsid w:val="00884EEB"/>
    <w:rsid w:val="0088562E"/>
    <w:rsid w:val="0088797B"/>
    <w:rsid w:val="00891EB2"/>
    <w:rsid w:val="008925D5"/>
    <w:rsid w:val="00893FBD"/>
    <w:rsid w:val="00894083"/>
    <w:rsid w:val="00894492"/>
    <w:rsid w:val="00895281"/>
    <w:rsid w:val="008A0F13"/>
    <w:rsid w:val="008B06CA"/>
    <w:rsid w:val="008B1231"/>
    <w:rsid w:val="008B2697"/>
    <w:rsid w:val="008B373B"/>
    <w:rsid w:val="008B3BEB"/>
    <w:rsid w:val="008C1899"/>
    <w:rsid w:val="008C1D87"/>
    <w:rsid w:val="008C26F5"/>
    <w:rsid w:val="008C52DA"/>
    <w:rsid w:val="008C53C8"/>
    <w:rsid w:val="008C71E1"/>
    <w:rsid w:val="008D4A78"/>
    <w:rsid w:val="008D51EF"/>
    <w:rsid w:val="008D64CB"/>
    <w:rsid w:val="008D7646"/>
    <w:rsid w:val="008E07E8"/>
    <w:rsid w:val="008E2A8D"/>
    <w:rsid w:val="008E46A0"/>
    <w:rsid w:val="008E514A"/>
    <w:rsid w:val="008E6102"/>
    <w:rsid w:val="008E7F44"/>
    <w:rsid w:val="008E7F46"/>
    <w:rsid w:val="008F0A53"/>
    <w:rsid w:val="008F3103"/>
    <w:rsid w:val="008F3508"/>
    <w:rsid w:val="008F3B2C"/>
    <w:rsid w:val="008F3E81"/>
    <w:rsid w:val="008F4556"/>
    <w:rsid w:val="008F5535"/>
    <w:rsid w:val="008F663A"/>
    <w:rsid w:val="008F772F"/>
    <w:rsid w:val="00900E63"/>
    <w:rsid w:val="00903343"/>
    <w:rsid w:val="00903A94"/>
    <w:rsid w:val="00904498"/>
    <w:rsid w:val="00910FA6"/>
    <w:rsid w:val="00911783"/>
    <w:rsid w:val="00911C51"/>
    <w:rsid w:val="00915841"/>
    <w:rsid w:val="009208B2"/>
    <w:rsid w:val="009209EA"/>
    <w:rsid w:val="00920E6E"/>
    <w:rsid w:val="0092151B"/>
    <w:rsid w:val="00922349"/>
    <w:rsid w:val="00923960"/>
    <w:rsid w:val="0092645E"/>
    <w:rsid w:val="0092695D"/>
    <w:rsid w:val="00927C42"/>
    <w:rsid w:val="00931415"/>
    <w:rsid w:val="00931CC5"/>
    <w:rsid w:val="00933A20"/>
    <w:rsid w:val="00940E95"/>
    <w:rsid w:val="00944DEA"/>
    <w:rsid w:val="00945D26"/>
    <w:rsid w:val="00946505"/>
    <w:rsid w:val="00950768"/>
    <w:rsid w:val="0095418B"/>
    <w:rsid w:val="009607FE"/>
    <w:rsid w:val="00961987"/>
    <w:rsid w:val="0096407D"/>
    <w:rsid w:val="0096681A"/>
    <w:rsid w:val="00967889"/>
    <w:rsid w:val="00970D7B"/>
    <w:rsid w:val="0097165D"/>
    <w:rsid w:val="00972BB5"/>
    <w:rsid w:val="00975058"/>
    <w:rsid w:val="0097692B"/>
    <w:rsid w:val="00981744"/>
    <w:rsid w:val="00983145"/>
    <w:rsid w:val="0098469D"/>
    <w:rsid w:val="009865EE"/>
    <w:rsid w:val="009928CE"/>
    <w:rsid w:val="00995900"/>
    <w:rsid w:val="00996374"/>
    <w:rsid w:val="009A040F"/>
    <w:rsid w:val="009A1F72"/>
    <w:rsid w:val="009A7AFB"/>
    <w:rsid w:val="009B5C7B"/>
    <w:rsid w:val="009B6050"/>
    <w:rsid w:val="009C135F"/>
    <w:rsid w:val="009C1B46"/>
    <w:rsid w:val="009C5621"/>
    <w:rsid w:val="009D08A0"/>
    <w:rsid w:val="009D08A6"/>
    <w:rsid w:val="009D2598"/>
    <w:rsid w:val="009D4836"/>
    <w:rsid w:val="009D539E"/>
    <w:rsid w:val="009E3E05"/>
    <w:rsid w:val="009E4125"/>
    <w:rsid w:val="009E42CD"/>
    <w:rsid w:val="009F1AE4"/>
    <w:rsid w:val="009F3203"/>
    <w:rsid w:val="009F4E13"/>
    <w:rsid w:val="009F5418"/>
    <w:rsid w:val="009F5F4C"/>
    <w:rsid w:val="009F6875"/>
    <w:rsid w:val="009F698B"/>
    <w:rsid w:val="009F71D4"/>
    <w:rsid w:val="009F71F2"/>
    <w:rsid w:val="009F7761"/>
    <w:rsid w:val="009F7A97"/>
    <w:rsid w:val="00A00AB5"/>
    <w:rsid w:val="00A0166D"/>
    <w:rsid w:val="00A016A3"/>
    <w:rsid w:val="00A0287A"/>
    <w:rsid w:val="00A04520"/>
    <w:rsid w:val="00A067C6"/>
    <w:rsid w:val="00A07D86"/>
    <w:rsid w:val="00A11066"/>
    <w:rsid w:val="00A11A84"/>
    <w:rsid w:val="00A12829"/>
    <w:rsid w:val="00A13DB2"/>
    <w:rsid w:val="00A15A87"/>
    <w:rsid w:val="00A170D1"/>
    <w:rsid w:val="00A176F3"/>
    <w:rsid w:val="00A17D08"/>
    <w:rsid w:val="00A206D7"/>
    <w:rsid w:val="00A21449"/>
    <w:rsid w:val="00A2513B"/>
    <w:rsid w:val="00A31D6E"/>
    <w:rsid w:val="00A3224D"/>
    <w:rsid w:val="00A32E31"/>
    <w:rsid w:val="00A34D60"/>
    <w:rsid w:val="00A376FC"/>
    <w:rsid w:val="00A41886"/>
    <w:rsid w:val="00A41E56"/>
    <w:rsid w:val="00A423E4"/>
    <w:rsid w:val="00A431E5"/>
    <w:rsid w:val="00A447F5"/>
    <w:rsid w:val="00A44DBA"/>
    <w:rsid w:val="00A452C3"/>
    <w:rsid w:val="00A45E81"/>
    <w:rsid w:val="00A46A31"/>
    <w:rsid w:val="00A471EE"/>
    <w:rsid w:val="00A506AC"/>
    <w:rsid w:val="00A51EF2"/>
    <w:rsid w:val="00A57711"/>
    <w:rsid w:val="00A622DE"/>
    <w:rsid w:val="00A636E4"/>
    <w:rsid w:val="00A64582"/>
    <w:rsid w:val="00A656EA"/>
    <w:rsid w:val="00A67549"/>
    <w:rsid w:val="00A67F37"/>
    <w:rsid w:val="00A70045"/>
    <w:rsid w:val="00A755BB"/>
    <w:rsid w:val="00A83F98"/>
    <w:rsid w:val="00A90552"/>
    <w:rsid w:val="00A92DCA"/>
    <w:rsid w:val="00A930FA"/>
    <w:rsid w:val="00A939A9"/>
    <w:rsid w:val="00A93A9A"/>
    <w:rsid w:val="00A94926"/>
    <w:rsid w:val="00A94B73"/>
    <w:rsid w:val="00A95EAE"/>
    <w:rsid w:val="00AA2373"/>
    <w:rsid w:val="00AB333E"/>
    <w:rsid w:val="00AC29EF"/>
    <w:rsid w:val="00AC3817"/>
    <w:rsid w:val="00AC3C76"/>
    <w:rsid w:val="00AC4661"/>
    <w:rsid w:val="00AC4875"/>
    <w:rsid w:val="00AC5615"/>
    <w:rsid w:val="00AC6650"/>
    <w:rsid w:val="00AD0C73"/>
    <w:rsid w:val="00AD1B36"/>
    <w:rsid w:val="00AD1E7C"/>
    <w:rsid w:val="00AD24E1"/>
    <w:rsid w:val="00AD252C"/>
    <w:rsid w:val="00AD5D53"/>
    <w:rsid w:val="00AD661F"/>
    <w:rsid w:val="00AD6BD4"/>
    <w:rsid w:val="00AD7FCF"/>
    <w:rsid w:val="00AE0D73"/>
    <w:rsid w:val="00AE4675"/>
    <w:rsid w:val="00AF1753"/>
    <w:rsid w:val="00AF256A"/>
    <w:rsid w:val="00AF346B"/>
    <w:rsid w:val="00AF452E"/>
    <w:rsid w:val="00AF4950"/>
    <w:rsid w:val="00AF6686"/>
    <w:rsid w:val="00B02163"/>
    <w:rsid w:val="00B03A45"/>
    <w:rsid w:val="00B04082"/>
    <w:rsid w:val="00B04C1F"/>
    <w:rsid w:val="00B05578"/>
    <w:rsid w:val="00B062AF"/>
    <w:rsid w:val="00B10BF9"/>
    <w:rsid w:val="00B1249D"/>
    <w:rsid w:val="00B12558"/>
    <w:rsid w:val="00B12785"/>
    <w:rsid w:val="00B154F5"/>
    <w:rsid w:val="00B159A0"/>
    <w:rsid w:val="00B212D0"/>
    <w:rsid w:val="00B222B3"/>
    <w:rsid w:val="00B23A78"/>
    <w:rsid w:val="00B24BBE"/>
    <w:rsid w:val="00B3038D"/>
    <w:rsid w:val="00B304B2"/>
    <w:rsid w:val="00B3258A"/>
    <w:rsid w:val="00B3397C"/>
    <w:rsid w:val="00B33A4C"/>
    <w:rsid w:val="00B35E78"/>
    <w:rsid w:val="00B36440"/>
    <w:rsid w:val="00B3779A"/>
    <w:rsid w:val="00B37871"/>
    <w:rsid w:val="00B40086"/>
    <w:rsid w:val="00B40DBA"/>
    <w:rsid w:val="00B41AC0"/>
    <w:rsid w:val="00B420C6"/>
    <w:rsid w:val="00B42C65"/>
    <w:rsid w:val="00B434D8"/>
    <w:rsid w:val="00B44C4E"/>
    <w:rsid w:val="00B450AA"/>
    <w:rsid w:val="00B458A0"/>
    <w:rsid w:val="00B50061"/>
    <w:rsid w:val="00B5018C"/>
    <w:rsid w:val="00B503D8"/>
    <w:rsid w:val="00B5156C"/>
    <w:rsid w:val="00B51E80"/>
    <w:rsid w:val="00B53C87"/>
    <w:rsid w:val="00B54F27"/>
    <w:rsid w:val="00B56167"/>
    <w:rsid w:val="00B569C0"/>
    <w:rsid w:val="00B56A05"/>
    <w:rsid w:val="00B56B17"/>
    <w:rsid w:val="00B571FE"/>
    <w:rsid w:val="00B5750B"/>
    <w:rsid w:val="00B5759B"/>
    <w:rsid w:val="00B5798B"/>
    <w:rsid w:val="00B60036"/>
    <w:rsid w:val="00B61AF3"/>
    <w:rsid w:val="00B61DB0"/>
    <w:rsid w:val="00B63F02"/>
    <w:rsid w:val="00B64780"/>
    <w:rsid w:val="00B651F2"/>
    <w:rsid w:val="00B652D1"/>
    <w:rsid w:val="00B657D9"/>
    <w:rsid w:val="00B66EBC"/>
    <w:rsid w:val="00B73447"/>
    <w:rsid w:val="00B74842"/>
    <w:rsid w:val="00B753D0"/>
    <w:rsid w:val="00B76740"/>
    <w:rsid w:val="00B77C7B"/>
    <w:rsid w:val="00B77D98"/>
    <w:rsid w:val="00B814EC"/>
    <w:rsid w:val="00B8247A"/>
    <w:rsid w:val="00B825F2"/>
    <w:rsid w:val="00B842C5"/>
    <w:rsid w:val="00B85F21"/>
    <w:rsid w:val="00B87670"/>
    <w:rsid w:val="00B877C3"/>
    <w:rsid w:val="00B87F17"/>
    <w:rsid w:val="00B915F7"/>
    <w:rsid w:val="00B97F81"/>
    <w:rsid w:val="00BA072F"/>
    <w:rsid w:val="00BA1460"/>
    <w:rsid w:val="00BA1D5E"/>
    <w:rsid w:val="00BA1FB8"/>
    <w:rsid w:val="00BA24B3"/>
    <w:rsid w:val="00BA30FC"/>
    <w:rsid w:val="00BA43FC"/>
    <w:rsid w:val="00BA4427"/>
    <w:rsid w:val="00BB29B9"/>
    <w:rsid w:val="00BB4868"/>
    <w:rsid w:val="00BB6DE3"/>
    <w:rsid w:val="00BC01A3"/>
    <w:rsid w:val="00BC090E"/>
    <w:rsid w:val="00BC1C6B"/>
    <w:rsid w:val="00BC3829"/>
    <w:rsid w:val="00BC3BD0"/>
    <w:rsid w:val="00BC44EF"/>
    <w:rsid w:val="00BC657E"/>
    <w:rsid w:val="00BC6ECB"/>
    <w:rsid w:val="00BD2237"/>
    <w:rsid w:val="00BD2F2C"/>
    <w:rsid w:val="00BD2F49"/>
    <w:rsid w:val="00BD3871"/>
    <w:rsid w:val="00BD53D6"/>
    <w:rsid w:val="00BD5855"/>
    <w:rsid w:val="00BD64FE"/>
    <w:rsid w:val="00BE1008"/>
    <w:rsid w:val="00BE22D2"/>
    <w:rsid w:val="00BE239D"/>
    <w:rsid w:val="00BE3604"/>
    <w:rsid w:val="00BE3936"/>
    <w:rsid w:val="00BE4A4A"/>
    <w:rsid w:val="00BE5060"/>
    <w:rsid w:val="00BE5E52"/>
    <w:rsid w:val="00BE60CA"/>
    <w:rsid w:val="00BF06F0"/>
    <w:rsid w:val="00BF0AB7"/>
    <w:rsid w:val="00BF1B44"/>
    <w:rsid w:val="00BF59BF"/>
    <w:rsid w:val="00BF5B7E"/>
    <w:rsid w:val="00BF687E"/>
    <w:rsid w:val="00BF76DD"/>
    <w:rsid w:val="00BF7B52"/>
    <w:rsid w:val="00BF7C05"/>
    <w:rsid w:val="00C01A06"/>
    <w:rsid w:val="00C027CA"/>
    <w:rsid w:val="00C0310B"/>
    <w:rsid w:val="00C044C5"/>
    <w:rsid w:val="00C05101"/>
    <w:rsid w:val="00C05AD3"/>
    <w:rsid w:val="00C06D85"/>
    <w:rsid w:val="00C07189"/>
    <w:rsid w:val="00C11554"/>
    <w:rsid w:val="00C121B9"/>
    <w:rsid w:val="00C12842"/>
    <w:rsid w:val="00C13210"/>
    <w:rsid w:val="00C14262"/>
    <w:rsid w:val="00C15772"/>
    <w:rsid w:val="00C15F46"/>
    <w:rsid w:val="00C17F04"/>
    <w:rsid w:val="00C20A1A"/>
    <w:rsid w:val="00C21AED"/>
    <w:rsid w:val="00C21FF2"/>
    <w:rsid w:val="00C229CB"/>
    <w:rsid w:val="00C26238"/>
    <w:rsid w:val="00C30168"/>
    <w:rsid w:val="00C31757"/>
    <w:rsid w:val="00C319AE"/>
    <w:rsid w:val="00C33071"/>
    <w:rsid w:val="00C35F72"/>
    <w:rsid w:val="00C362F7"/>
    <w:rsid w:val="00C41235"/>
    <w:rsid w:val="00C438BB"/>
    <w:rsid w:val="00C43B80"/>
    <w:rsid w:val="00C5021C"/>
    <w:rsid w:val="00C542E3"/>
    <w:rsid w:val="00C54D1D"/>
    <w:rsid w:val="00C56409"/>
    <w:rsid w:val="00C65B6D"/>
    <w:rsid w:val="00C665CE"/>
    <w:rsid w:val="00C70A23"/>
    <w:rsid w:val="00C72C51"/>
    <w:rsid w:val="00C74E67"/>
    <w:rsid w:val="00C74EF8"/>
    <w:rsid w:val="00C76067"/>
    <w:rsid w:val="00C80259"/>
    <w:rsid w:val="00C81130"/>
    <w:rsid w:val="00C81E85"/>
    <w:rsid w:val="00C83571"/>
    <w:rsid w:val="00C83D6A"/>
    <w:rsid w:val="00C908FC"/>
    <w:rsid w:val="00C915A0"/>
    <w:rsid w:val="00C93F06"/>
    <w:rsid w:val="00C94068"/>
    <w:rsid w:val="00C946CE"/>
    <w:rsid w:val="00C956F4"/>
    <w:rsid w:val="00C95C95"/>
    <w:rsid w:val="00C96826"/>
    <w:rsid w:val="00C96E11"/>
    <w:rsid w:val="00CA307F"/>
    <w:rsid w:val="00CA40F4"/>
    <w:rsid w:val="00CA6360"/>
    <w:rsid w:val="00CB03F8"/>
    <w:rsid w:val="00CB0CA0"/>
    <w:rsid w:val="00CB1CDD"/>
    <w:rsid w:val="00CB2493"/>
    <w:rsid w:val="00CB3356"/>
    <w:rsid w:val="00CB74BD"/>
    <w:rsid w:val="00CB7B6B"/>
    <w:rsid w:val="00CC3A40"/>
    <w:rsid w:val="00CC5092"/>
    <w:rsid w:val="00CC71D5"/>
    <w:rsid w:val="00CD208B"/>
    <w:rsid w:val="00CD3B52"/>
    <w:rsid w:val="00CD4A67"/>
    <w:rsid w:val="00CD4AAC"/>
    <w:rsid w:val="00CD55C2"/>
    <w:rsid w:val="00CD632A"/>
    <w:rsid w:val="00CD6333"/>
    <w:rsid w:val="00CE10ED"/>
    <w:rsid w:val="00CE1CFB"/>
    <w:rsid w:val="00CF0410"/>
    <w:rsid w:val="00CF184D"/>
    <w:rsid w:val="00CF65A9"/>
    <w:rsid w:val="00D000DF"/>
    <w:rsid w:val="00D00783"/>
    <w:rsid w:val="00D03964"/>
    <w:rsid w:val="00D04531"/>
    <w:rsid w:val="00D06DB6"/>
    <w:rsid w:val="00D07811"/>
    <w:rsid w:val="00D10792"/>
    <w:rsid w:val="00D10C1D"/>
    <w:rsid w:val="00D10F43"/>
    <w:rsid w:val="00D116CB"/>
    <w:rsid w:val="00D15982"/>
    <w:rsid w:val="00D15D75"/>
    <w:rsid w:val="00D15E15"/>
    <w:rsid w:val="00D203C3"/>
    <w:rsid w:val="00D20FE4"/>
    <w:rsid w:val="00D21529"/>
    <w:rsid w:val="00D21695"/>
    <w:rsid w:val="00D228DF"/>
    <w:rsid w:val="00D23E3D"/>
    <w:rsid w:val="00D2441D"/>
    <w:rsid w:val="00D244C0"/>
    <w:rsid w:val="00D26AB9"/>
    <w:rsid w:val="00D27228"/>
    <w:rsid w:val="00D275E3"/>
    <w:rsid w:val="00D32045"/>
    <w:rsid w:val="00D32CEB"/>
    <w:rsid w:val="00D33BAC"/>
    <w:rsid w:val="00D373EC"/>
    <w:rsid w:val="00D3779D"/>
    <w:rsid w:val="00D43B3F"/>
    <w:rsid w:val="00D44A71"/>
    <w:rsid w:val="00D469BA"/>
    <w:rsid w:val="00D50C13"/>
    <w:rsid w:val="00D50F7E"/>
    <w:rsid w:val="00D53813"/>
    <w:rsid w:val="00D541A5"/>
    <w:rsid w:val="00D54D87"/>
    <w:rsid w:val="00D5616D"/>
    <w:rsid w:val="00D60D42"/>
    <w:rsid w:val="00D60DED"/>
    <w:rsid w:val="00D65443"/>
    <w:rsid w:val="00D65C93"/>
    <w:rsid w:val="00D700F0"/>
    <w:rsid w:val="00D70DEC"/>
    <w:rsid w:val="00D73D4A"/>
    <w:rsid w:val="00D742BD"/>
    <w:rsid w:val="00D7471A"/>
    <w:rsid w:val="00D772D4"/>
    <w:rsid w:val="00D804F0"/>
    <w:rsid w:val="00D827A0"/>
    <w:rsid w:val="00D835FD"/>
    <w:rsid w:val="00D84E4A"/>
    <w:rsid w:val="00D853F0"/>
    <w:rsid w:val="00D85BEE"/>
    <w:rsid w:val="00D85D39"/>
    <w:rsid w:val="00D9003D"/>
    <w:rsid w:val="00D9105D"/>
    <w:rsid w:val="00D915DA"/>
    <w:rsid w:val="00D923E9"/>
    <w:rsid w:val="00D93825"/>
    <w:rsid w:val="00D93BD5"/>
    <w:rsid w:val="00D93DED"/>
    <w:rsid w:val="00D951F0"/>
    <w:rsid w:val="00D95332"/>
    <w:rsid w:val="00D96DA6"/>
    <w:rsid w:val="00D96DE9"/>
    <w:rsid w:val="00D97E9A"/>
    <w:rsid w:val="00DA0407"/>
    <w:rsid w:val="00DA20F1"/>
    <w:rsid w:val="00DA2FE0"/>
    <w:rsid w:val="00DA32FC"/>
    <w:rsid w:val="00DA4793"/>
    <w:rsid w:val="00DA4C33"/>
    <w:rsid w:val="00DA6233"/>
    <w:rsid w:val="00DB1999"/>
    <w:rsid w:val="00DB2021"/>
    <w:rsid w:val="00DB44E2"/>
    <w:rsid w:val="00DB48FF"/>
    <w:rsid w:val="00DB52D6"/>
    <w:rsid w:val="00DB6F00"/>
    <w:rsid w:val="00DB74DD"/>
    <w:rsid w:val="00DC0DBD"/>
    <w:rsid w:val="00DC11EA"/>
    <w:rsid w:val="00DC1EAA"/>
    <w:rsid w:val="00DC2435"/>
    <w:rsid w:val="00DC3612"/>
    <w:rsid w:val="00DC40C3"/>
    <w:rsid w:val="00DC7BD2"/>
    <w:rsid w:val="00DD08ED"/>
    <w:rsid w:val="00DD0AD2"/>
    <w:rsid w:val="00DD0E17"/>
    <w:rsid w:val="00DD15A6"/>
    <w:rsid w:val="00DD16B9"/>
    <w:rsid w:val="00DD3054"/>
    <w:rsid w:val="00DD6A76"/>
    <w:rsid w:val="00DD7346"/>
    <w:rsid w:val="00DE128E"/>
    <w:rsid w:val="00DE1A9B"/>
    <w:rsid w:val="00DE2AED"/>
    <w:rsid w:val="00DF2527"/>
    <w:rsid w:val="00DF4113"/>
    <w:rsid w:val="00DF568D"/>
    <w:rsid w:val="00E018F9"/>
    <w:rsid w:val="00E03A75"/>
    <w:rsid w:val="00E0408A"/>
    <w:rsid w:val="00E046CF"/>
    <w:rsid w:val="00E06388"/>
    <w:rsid w:val="00E1047D"/>
    <w:rsid w:val="00E10CA7"/>
    <w:rsid w:val="00E116E1"/>
    <w:rsid w:val="00E11B53"/>
    <w:rsid w:val="00E12C18"/>
    <w:rsid w:val="00E14D04"/>
    <w:rsid w:val="00E1564C"/>
    <w:rsid w:val="00E16ADD"/>
    <w:rsid w:val="00E20AA9"/>
    <w:rsid w:val="00E2198A"/>
    <w:rsid w:val="00E21C79"/>
    <w:rsid w:val="00E22B63"/>
    <w:rsid w:val="00E25006"/>
    <w:rsid w:val="00E25E8C"/>
    <w:rsid w:val="00E276A9"/>
    <w:rsid w:val="00E315DE"/>
    <w:rsid w:val="00E32F6F"/>
    <w:rsid w:val="00E34E1B"/>
    <w:rsid w:val="00E35057"/>
    <w:rsid w:val="00E354BD"/>
    <w:rsid w:val="00E427C6"/>
    <w:rsid w:val="00E4387B"/>
    <w:rsid w:val="00E44595"/>
    <w:rsid w:val="00E46AF2"/>
    <w:rsid w:val="00E50622"/>
    <w:rsid w:val="00E50C0C"/>
    <w:rsid w:val="00E51534"/>
    <w:rsid w:val="00E517A7"/>
    <w:rsid w:val="00E5608C"/>
    <w:rsid w:val="00E5715E"/>
    <w:rsid w:val="00E57256"/>
    <w:rsid w:val="00E57604"/>
    <w:rsid w:val="00E6158E"/>
    <w:rsid w:val="00E62AD1"/>
    <w:rsid w:val="00E67ABB"/>
    <w:rsid w:val="00E67F02"/>
    <w:rsid w:val="00E7181F"/>
    <w:rsid w:val="00E72DD8"/>
    <w:rsid w:val="00E747BA"/>
    <w:rsid w:val="00E75C6F"/>
    <w:rsid w:val="00E75CF8"/>
    <w:rsid w:val="00E760EE"/>
    <w:rsid w:val="00E76F50"/>
    <w:rsid w:val="00E81222"/>
    <w:rsid w:val="00E83FAC"/>
    <w:rsid w:val="00E84666"/>
    <w:rsid w:val="00E848CA"/>
    <w:rsid w:val="00E85F37"/>
    <w:rsid w:val="00E915D7"/>
    <w:rsid w:val="00E91983"/>
    <w:rsid w:val="00E91E5E"/>
    <w:rsid w:val="00E93773"/>
    <w:rsid w:val="00E95284"/>
    <w:rsid w:val="00E958BC"/>
    <w:rsid w:val="00E95D60"/>
    <w:rsid w:val="00EA03D2"/>
    <w:rsid w:val="00EA073A"/>
    <w:rsid w:val="00EA51B7"/>
    <w:rsid w:val="00EA5D7A"/>
    <w:rsid w:val="00EA7B39"/>
    <w:rsid w:val="00EB2DD6"/>
    <w:rsid w:val="00EB3678"/>
    <w:rsid w:val="00EB5135"/>
    <w:rsid w:val="00EC1778"/>
    <w:rsid w:val="00EC34A0"/>
    <w:rsid w:val="00EC5284"/>
    <w:rsid w:val="00EC74A6"/>
    <w:rsid w:val="00EC7726"/>
    <w:rsid w:val="00ED17E7"/>
    <w:rsid w:val="00ED27D8"/>
    <w:rsid w:val="00ED3854"/>
    <w:rsid w:val="00ED3AB5"/>
    <w:rsid w:val="00ED3B34"/>
    <w:rsid w:val="00ED4F06"/>
    <w:rsid w:val="00ED5357"/>
    <w:rsid w:val="00ED5491"/>
    <w:rsid w:val="00ED6DB4"/>
    <w:rsid w:val="00ED7109"/>
    <w:rsid w:val="00EE266C"/>
    <w:rsid w:val="00EE36EF"/>
    <w:rsid w:val="00EE3816"/>
    <w:rsid w:val="00EE3C36"/>
    <w:rsid w:val="00EE4188"/>
    <w:rsid w:val="00EE5264"/>
    <w:rsid w:val="00EE6E9F"/>
    <w:rsid w:val="00EF3FAE"/>
    <w:rsid w:val="00EF5915"/>
    <w:rsid w:val="00F02048"/>
    <w:rsid w:val="00F025E0"/>
    <w:rsid w:val="00F059C9"/>
    <w:rsid w:val="00F06C18"/>
    <w:rsid w:val="00F06CAB"/>
    <w:rsid w:val="00F0707D"/>
    <w:rsid w:val="00F1136E"/>
    <w:rsid w:val="00F16549"/>
    <w:rsid w:val="00F16728"/>
    <w:rsid w:val="00F17BA2"/>
    <w:rsid w:val="00F2048E"/>
    <w:rsid w:val="00F21B12"/>
    <w:rsid w:val="00F23AA2"/>
    <w:rsid w:val="00F30891"/>
    <w:rsid w:val="00F315BF"/>
    <w:rsid w:val="00F34108"/>
    <w:rsid w:val="00F3568B"/>
    <w:rsid w:val="00F367BD"/>
    <w:rsid w:val="00F401D2"/>
    <w:rsid w:val="00F40332"/>
    <w:rsid w:val="00F408EE"/>
    <w:rsid w:val="00F41A3D"/>
    <w:rsid w:val="00F42DA8"/>
    <w:rsid w:val="00F43401"/>
    <w:rsid w:val="00F43C43"/>
    <w:rsid w:val="00F43E13"/>
    <w:rsid w:val="00F479CA"/>
    <w:rsid w:val="00F50465"/>
    <w:rsid w:val="00F533E8"/>
    <w:rsid w:val="00F53A96"/>
    <w:rsid w:val="00F567BE"/>
    <w:rsid w:val="00F56A05"/>
    <w:rsid w:val="00F6053A"/>
    <w:rsid w:val="00F607B7"/>
    <w:rsid w:val="00F6157F"/>
    <w:rsid w:val="00F61B7D"/>
    <w:rsid w:val="00F62F08"/>
    <w:rsid w:val="00F645BB"/>
    <w:rsid w:val="00F64CC1"/>
    <w:rsid w:val="00F6564B"/>
    <w:rsid w:val="00F66A55"/>
    <w:rsid w:val="00F71388"/>
    <w:rsid w:val="00F71937"/>
    <w:rsid w:val="00F731B4"/>
    <w:rsid w:val="00F734E3"/>
    <w:rsid w:val="00F7418C"/>
    <w:rsid w:val="00F74395"/>
    <w:rsid w:val="00F747F1"/>
    <w:rsid w:val="00F74868"/>
    <w:rsid w:val="00F76FE2"/>
    <w:rsid w:val="00F8390E"/>
    <w:rsid w:val="00F83E3C"/>
    <w:rsid w:val="00F85A6C"/>
    <w:rsid w:val="00F8686E"/>
    <w:rsid w:val="00F87025"/>
    <w:rsid w:val="00F870E4"/>
    <w:rsid w:val="00F87731"/>
    <w:rsid w:val="00F90458"/>
    <w:rsid w:val="00F9051D"/>
    <w:rsid w:val="00F9058B"/>
    <w:rsid w:val="00F91B17"/>
    <w:rsid w:val="00F940CA"/>
    <w:rsid w:val="00F942D4"/>
    <w:rsid w:val="00F94659"/>
    <w:rsid w:val="00F9561C"/>
    <w:rsid w:val="00F9587D"/>
    <w:rsid w:val="00F96F37"/>
    <w:rsid w:val="00FA0F12"/>
    <w:rsid w:val="00FA12B1"/>
    <w:rsid w:val="00FA1D4A"/>
    <w:rsid w:val="00FA2173"/>
    <w:rsid w:val="00FA219D"/>
    <w:rsid w:val="00FA3B1D"/>
    <w:rsid w:val="00FA3E20"/>
    <w:rsid w:val="00FA53FD"/>
    <w:rsid w:val="00FA6361"/>
    <w:rsid w:val="00FA66EF"/>
    <w:rsid w:val="00FA68E2"/>
    <w:rsid w:val="00FA765D"/>
    <w:rsid w:val="00FA786D"/>
    <w:rsid w:val="00FB09DB"/>
    <w:rsid w:val="00FB105D"/>
    <w:rsid w:val="00FB11B9"/>
    <w:rsid w:val="00FB13AD"/>
    <w:rsid w:val="00FB18B0"/>
    <w:rsid w:val="00FB228D"/>
    <w:rsid w:val="00FB5232"/>
    <w:rsid w:val="00FB5367"/>
    <w:rsid w:val="00FB5BB2"/>
    <w:rsid w:val="00FB683F"/>
    <w:rsid w:val="00FC024B"/>
    <w:rsid w:val="00FC0F59"/>
    <w:rsid w:val="00FC2511"/>
    <w:rsid w:val="00FC3A84"/>
    <w:rsid w:val="00FC4E98"/>
    <w:rsid w:val="00FC55EE"/>
    <w:rsid w:val="00FC761C"/>
    <w:rsid w:val="00FD11F3"/>
    <w:rsid w:val="00FD134C"/>
    <w:rsid w:val="00FD1498"/>
    <w:rsid w:val="00FD1627"/>
    <w:rsid w:val="00FD25F9"/>
    <w:rsid w:val="00FD4094"/>
    <w:rsid w:val="00FD4CC2"/>
    <w:rsid w:val="00FD5AD9"/>
    <w:rsid w:val="00FD5B12"/>
    <w:rsid w:val="00FD7092"/>
    <w:rsid w:val="00FD7F43"/>
    <w:rsid w:val="00FE24EC"/>
    <w:rsid w:val="00FE3EDB"/>
    <w:rsid w:val="00FE491C"/>
    <w:rsid w:val="00FE695B"/>
    <w:rsid w:val="00FF01D7"/>
    <w:rsid w:val="00FF0833"/>
    <w:rsid w:val="00FF0DCC"/>
    <w:rsid w:val="00FF11B3"/>
    <w:rsid w:val="00FF178F"/>
    <w:rsid w:val="00FF2D19"/>
    <w:rsid w:val="00FF30AE"/>
    <w:rsid w:val="00FF30DF"/>
    <w:rsid w:val="00FF365E"/>
    <w:rsid w:val="00FF70E5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C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669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AB5"/>
  </w:style>
  <w:style w:type="paragraph" w:styleId="Footer">
    <w:name w:val="footer"/>
    <w:basedOn w:val="Normal"/>
    <w:link w:val="FooterChar"/>
    <w:uiPriority w:val="99"/>
    <w:unhideWhenUsed/>
    <w:rsid w:val="00A00A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B5"/>
  </w:style>
  <w:style w:type="paragraph" w:customStyle="1" w:styleId="Default">
    <w:name w:val="Default"/>
    <w:rsid w:val="00B877C3"/>
    <w:pPr>
      <w:autoSpaceDE w:val="0"/>
      <w:autoSpaceDN w:val="0"/>
      <w:adjustRightInd w:val="0"/>
      <w:spacing w:after="0" w:line="240" w:lineRule="auto"/>
    </w:pPr>
    <w:rPr>
      <w:rFonts w:ascii="Univers LT Std 55" w:hAnsi="Univers LT Std 55" w:cs="Univers LT Std 55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66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7A2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66E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F65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4">
    <w:name w:val="Light List Accent 4"/>
    <w:basedOn w:val="TableNormal"/>
    <w:uiPriority w:val="61"/>
    <w:rsid w:val="0004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D7F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6243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c.bmj.com/search?author1=Nicholas+Larkins&amp;sortspec=date&amp;submit=Submit" TargetMode="External"/><Relationship Id="rId13" Type="http://schemas.openxmlformats.org/officeDocument/2006/relationships/hyperlink" Target="https://www.ncbi.nlm.nih.gov/pubmed/?term=Arif%20MK%5BAuthor%5D&amp;cauthor=true&amp;cauthor_uid=271948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www.ncbi.nlm.nih.gov/pubmed/?term=Bagga%20A%5Bauth%5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486226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c.bmj.com/search?author1=Elisabeth+Hodson&amp;sortspec=date&amp;submit=Subm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Amjad%20N%5BAuthor%5D&amp;cauthor=true&amp;cauthor_uid=27194833" TargetMode="External"/><Relationship Id="rId10" Type="http://schemas.openxmlformats.org/officeDocument/2006/relationships/hyperlink" Target="http://adc.bmj.com/search?author1=Jonathan+Craig&amp;sortspec=date&amp;submit=Subm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c.bmj.com/search?author1=Siah+Kim&amp;sortspec=date&amp;submit=Submit" TargetMode="External"/><Relationship Id="rId14" Type="http://schemas.openxmlformats.org/officeDocument/2006/relationships/hyperlink" Target="https://www.ncbi.nlm.nih.gov/pubmed/?term=Arif%20M%5BAuthor%5D&amp;cauthor=true&amp;cauthor_uid=2719483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Worksheet1.xlsx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EG"/>
  <c:style val="25"/>
  <c:chart>
    <c:autoTitleDeleted val="1"/>
    <c:plotArea>
      <c:layout>
        <c:manualLayout>
          <c:layoutTarget val="inner"/>
          <c:xMode val="edge"/>
          <c:yMode val="edge"/>
          <c:x val="0.13740424876112237"/>
          <c:y val="5.5747176308999689E-2"/>
          <c:w val="0.71688549046433625"/>
          <c:h val="0.7444925588951716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ysClr val="windowText" lastClr="000000"/>
              </a:solidFill>
            </a:ln>
          </c:spPr>
          <c:dPt>
            <c:idx val="1"/>
            <c:spPr>
              <a:solidFill>
                <a:schemeClr val="bg1">
                  <a:lumMod val="50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  <a:ln w="15875">
                <a:solidFill>
                  <a:sysClr val="windowText" lastClr="000000"/>
                </a:solidFill>
              </a:ln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FSGS</c:v>
                </c:pt>
                <c:pt idx="1">
                  <c:v>MCD</c:v>
                </c:pt>
                <c:pt idx="2">
                  <c:v>MesPGN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0.42000000000000032</c:v>
                </c:pt>
                <c:pt idx="1">
                  <c:v>0.39000000000000068</c:v>
                </c:pt>
                <c:pt idx="2" formatCode="0.00%">
                  <c:v>0.19000000000000003</c:v>
                </c:pt>
              </c:numCache>
            </c:numRef>
          </c:val>
        </c:ser>
        <c:axId val="65037056"/>
        <c:axId val="65038976"/>
      </c:barChart>
      <c:catAx>
        <c:axId val="65037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Histopathological types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 rtl="0">
              <a:defRPr/>
            </a:pPr>
            <a:endParaRPr lang="ar-EG"/>
          </a:p>
        </c:txPr>
        <c:crossAx val="65038976"/>
        <c:crosses val="autoZero"/>
        <c:auto val="1"/>
        <c:lblAlgn val="ctr"/>
        <c:lblOffset val="100"/>
      </c:catAx>
      <c:valAx>
        <c:axId val="65038976"/>
        <c:scaling>
          <c:orientation val="minMax"/>
        </c:scaling>
        <c:axPos val="l"/>
        <c:majorGridlines/>
        <c:numFmt formatCode="0%" sourceLinked="1"/>
        <c:tickLblPos val="nextTo"/>
        <c:crossAx val="65037056"/>
        <c:crosses val="autoZero"/>
        <c:crossBetween val="between"/>
      </c:valAx>
      <c:spPr>
        <a:solidFill>
          <a:schemeClr val="bg1">
            <a:lumMod val="95000"/>
          </a:schemeClr>
        </a:solidFill>
      </c:spPr>
    </c:plotArea>
    <c:plotVisOnly val="1"/>
    <c:dispBlanksAs val="gap"/>
  </c:chart>
  <c:externalData r:id="rId3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6011</TotalTime>
  <Pages>8</Pages>
  <Words>3054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1539</cp:revision>
  <dcterms:created xsi:type="dcterms:W3CDTF">2017-04-01T02:48:00Z</dcterms:created>
  <dcterms:modified xsi:type="dcterms:W3CDTF">2017-04-27T03:08:00Z</dcterms:modified>
</cp:coreProperties>
</file>